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F43A83" w14:textId="0A99AB6C" w:rsidR="00326744" w:rsidRPr="008C3B5C" w:rsidRDefault="00B0301B" w:rsidP="00674BE9">
      <w:pPr>
        <w:spacing w:line="276" w:lineRule="auto"/>
        <w:rPr>
          <w:rFonts w:ascii="Arial" w:hAnsi="Arial" w:cs="Arial"/>
        </w:rPr>
      </w:pPr>
      <w:r>
        <w:rPr>
          <w:noProof/>
        </w:rPr>
        <w:drawing>
          <wp:anchor distT="0" distB="0" distL="114300" distR="114300" simplePos="0" relativeHeight="251659264" behindDoc="0" locked="0" layoutInCell="1" allowOverlap="1" wp14:anchorId="0CA667A5" wp14:editId="601DFD5D">
            <wp:simplePos x="0" y="0"/>
            <wp:positionH relativeFrom="column">
              <wp:posOffset>1018746</wp:posOffset>
            </wp:positionH>
            <wp:positionV relativeFrom="paragraph">
              <wp:posOffset>207010</wp:posOffset>
            </wp:positionV>
            <wp:extent cx="3126740" cy="1078230"/>
            <wp:effectExtent l="0" t="0" r="0" b="1270"/>
            <wp:wrapSquare wrapText="bothSides"/>
            <wp:docPr id="1901466944" name="Image 1" descr="Université Paris-Sac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niversité Paris-Saclay"/>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126740" cy="10782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F445AEF" w14:textId="492E26F7" w:rsidR="0057738B" w:rsidRPr="003F1722" w:rsidRDefault="0057738B" w:rsidP="00674BE9">
      <w:pPr>
        <w:pStyle w:val="AdressePageDeGarde"/>
        <w:spacing w:line="276" w:lineRule="auto"/>
        <w:rPr>
          <w:rFonts w:ascii="Arial" w:hAnsi="Arial" w:cs="Arial"/>
        </w:rPr>
      </w:pPr>
    </w:p>
    <w:p w14:paraId="7C617D2E" w14:textId="77777777" w:rsidR="0057738B" w:rsidRPr="003F1722" w:rsidRDefault="0057738B" w:rsidP="00674BE9">
      <w:pPr>
        <w:pStyle w:val="AdressePageDeGarde"/>
        <w:spacing w:line="276" w:lineRule="auto"/>
        <w:jc w:val="left"/>
        <w:rPr>
          <w:rFonts w:ascii="Arial" w:hAnsi="Arial" w:cs="Arial"/>
        </w:rPr>
      </w:pPr>
    </w:p>
    <w:p w14:paraId="430C3F61" w14:textId="77777777" w:rsidR="0057738B" w:rsidRDefault="0057738B" w:rsidP="00674BE9">
      <w:pPr>
        <w:spacing w:line="276" w:lineRule="auto"/>
        <w:rPr>
          <w:rFonts w:ascii="Arial" w:hAnsi="Arial" w:cs="Arial"/>
          <w:sz w:val="32"/>
          <w:szCs w:val="32"/>
        </w:rPr>
      </w:pPr>
    </w:p>
    <w:p w14:paraId="55995EB7" w14:textId="77777777" w:rsidR="0057738B" w:rsidRDefault="0057738B" w:rsidP="00674BE9">
      <w:pPr>
        <w:spacing w:line="276" w:lineRule="auto"/>
        <w:rPr>
          <w:rFonts w:ascii="Arial" w:hAnsi="Arial" w:cs="Arial"/>
          <w:sz w:val="32"/>
          <w:szCs w:val="32"/>
        </w:rPr>
      </w:pPr>
    </w:p>
    <w:p w14:paraId="03ECA31B" w14:textId="77777777" w:rsidR="0057738B" w:rsidRPr="00091C21" w:rsidRDefault="0057738B" w:rsidP="00674BE9">
      <w:pPr>
        <w:spacing w:line="276" w:lineRule="auto"/>
        <w:rPr>
          <w:rFonts w:ascii="Arial" w:hAnsi="Arial" w:cs="Arial"/>
          <w:sz w:val="32"/>
          <w:szCs w:val="32"/>
        </w:rPr>
      </w:pPr>
    </w:p>
    <w:p w14:paraId="47E834D8" w14:textId="77777777" w:rsidR="0057738B" w:rsidRPr="00091C21" w:rsidRDefault="0057738B" w:rsidP="00674BE9">
      <w:pPr>
        <w:spacing w:line="276" w:lineRule="auto"/>
        <w:rPr>
          <w:rFonts w:ascii="Arial" w:hAnsi="Arial" w:cs="Arial"/>
          <w:sz w:val="32"/>
          <w:szCs w:val="32"/>
        </w:rPr>
      </w:pPr>
    </w:p>
    <w:p w14:paraId="32401CAF" w14:textId="77777777"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p>
    <w:p w14:paraId="609933B9" w14:textId="7E805424"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caps/>
          <w:sz w:val="32"/>
          <w:szCs w:val="32"/>
        </w:rPr>
      </w:pPr>
      <w:r w:rsidRPr="00091C21">
        <w:rPr>
          <w:rFonts w:ascii="Arial" w:hAnsi="Arial" w:cs="Arial"/>
          <w:b/>
          <w:bCs/>
          <w:caps/>
          <w:sz w:val="32"/>
          <w:szCs w:val="32"/>
        </w:rPr>
        <w:t xml:space="preserve">ACCORD-CADRE </w:t>
      </w:r>
      <w:r w:rsidR="00673DDF">
        <w:rPr>
          <w:rFonts w:ascii="Arial" w:hAnsi="Arial" w:cs="Arial"/>
          <w:b/>
          <w:bCs/>
          <w:caps/>
          <w:sz w:val="32"/>
          <w:szCs w:val="32"/>
        </w:rPr>
        <w:t xml:space="preserve">DE PRESTATIONS INTELLECTUELLES </w:t>
      </w:r>
    </w:p>
    <w:p w14:paraId="70622B5A" w14:textId="77777777"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caps/>
          <w:sz w:val="32"/>
          <w:szCs w:val="32"/>
        </w:rPr>
      </w:pPr>
    </w:p>
    <w:p w14:paraId="2E345C8C" w14:textId="12D8B0B1" w:rsidR="0057738B" w:rsidRPr="00091C21" w:rsidRDefault="00673DDF"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proofErr w:type="gramStart"/>
      <w:r>
        <w:rPr>
          <w:rFonts w:ascii="Arial" w:hAnsi="Arial" w:cs="Arial"/>
          <w:b/>
          <w:bCs/>
          <w:sz w:val="32"/>
          <w:szCs w:val="32"/>
        </w:rPr>
        <w:t>maîtrise</w:t>
      </w:r>
      <w:proofErr w:type="gramEnd"/>
      <w:r>
        <w:rPr>
          <w:rFonts w:ascii="Arial" w:hAnsi="Arial" w:cs="Arial"/>
          <w:b/>
          <w:bCs/>
          <w:sz w:val="32"/>
          <w:szCs w:val="32"/>
        </w:rPr>
        <w:t xml:space="preserve"> d’œuvre et assistance </w:t>
      </w:r>
      <w:r w:rsidR="00311BC9">
        <w:rPr>
          <w:rFonts w:ascii="Arial" w:hAnsi="Arial" w:cs="Arial"/>
          <w:b/>
          <w:bCs/>
          <w:sz w:val="32"/>
          <w:szCs w:val="32"/>
        </w:rPr>
        <w:t>pour la rénovation de bâtiments de l’Université Paris-Saclay</w:t>
      </w:r>
    </w:p>
    <w:p w14:paraId="29CF3220" w14:textId="77777777"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p>
    <w:p w14:paraId="0CC2CDDB" w14:textId="273410BF"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r w:rsidRPr="00091C21">
        <w:rPr>
          <w:rFonts w:ascii="Arial" w:hAnsi="Arial" w:cs="Arial"/>
          <w:b/>
          <w:bCs/>
          <w:sz w:val="32"/>
          <w:szCs w:val="32"/>
        </w:rPr>
        <w:t>_______________________________________________</w:t>
      </w:r>
    </w:p>
    <w:p w14:paraId="28600CAF" w14:textId="77777777"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p>
    <w:p w14:paraId="07D367A9" w14:textId="44DA95C6" w:rsidR="0057738B"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r>
        <w:rPr>
          <w:rFonts w:ascii="Arial" w:hAnsi="Arial" w:cs="Arial"/>
          <w:b/>
          <w:bCs/>
          <w:sz w:val="32"/>
          <w:szCs w:val="32"/>
        </w:rPr>
        <w:t xml:space="preserve">Cahier des Clauses Techniques Particulières </w:t>
      </w:r>
      <w:r w:rsidRPr="0057738B">
        <w:rPr>
          <w:rFonts w:ascii="Arial" w:hAnsi="Arial" w:cs="Arial"/>
          <w:b/>
          <w:bCs/>
          <w:sz w:val="32"/>
          <w:szCs w:val="32"/>
        </w:rPr>
        <w:t>relatif à l’accord-cadre et aux marchés subséquents</w:t>
      </w:r>
    </w:p>
    <w:p w14:paraId="543C8490" w14:textId="4CB301C7"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r>
        <w:rPr>
          <w:rFonts w:ascii="Arial" w:hAnsi="Arial" w:cs="Arial"/>
          <w:b/>
          <w:bCs/>
          <w:sz w:val="32"/>
          <w:szCs w:val="32"/>
        </w:rPr>
        <w:t>(CCTP AC)</w:t>
      </w:r>
    </w:p>
    <w:p w14:paraId="30B6796B" w14:textId="77777777" w:rsidR="0057738B" w:rsidRPr="00091C21" w:rsidRDefault="0057738B" w:rsidP="00674BE9">
      <w:pPr>
        <w:pBdr>
          <w:top w:val="single" w:sz="4" w:space="1" w:color="auto"/>
          <w:left w:val="single" w:sz="4" w:space="4" w:color="auto"/>
          <w:bottom w:val="single" w:sz="4" w:space="1" w:color="auto"/>
          <w:right w:val="single" w:sz="4" w:space="1" w:color="auto"/>
        </w:pBdr>
        <w:spacing w:line="276" w:lineRule="auto"/>
        <w:jc w:val="center"/>
        <w:rPr>
          <w:rFonts w:ascii="Arial" w:hAnsi="Arial" w:cs="Arial"/>
          <w:b/>
          <w:bCs/>
          <w:sz w:val="32"/>
          <w:szCs w:val="32"/>
        </w:rPr>
      </w:pPr>
    </w:p>
    <w:p w14:paraId="1247332B" w14:textId="77777777" w:rsidR="00326744" w:rsidRPr="008C3B5C" w:rsidRDefault="00326744" w:rsidP="00674BE9">
      <w:pPr>
        <w:spacing w:line="276" w:lineRule="auto"/>
        <w:rPr>
          <w:rFonts w:ascii="Arial" w:hAnsi="Arial" w:cs="Arial"/>
        </w:rPr>
      </w:pPr>
    </w:p>
    <w:p w14:paraId="208BA52F" w14:textId="174509D4" w:rsidR="00326744" w:rsidRPr="000B4482" w:rsidRDefault="00326744" w:rsidP="00674BE9">
      <w:pPr>
        <w:pStyle w:val="Titrecadre"/>
        <w:pBdr>
          <w:top w:val="none" w:sz="0" w:space="0" w:color="auto"/>
          <w:left w:val="none" w:sz="0" w:space="0" w:color="auto"/>
          <w:bottom w:val="none" w:sz="0" w:space="0" w:color="auto"/>
          <w:right w:val="none" w:sz="0" w:space="0" w:color="auto"/>
        </w:pBdr>
        <w:spacing w:line="276" w:lineRule="auto"/>
        <w:jc w:val="left"/>
        <w:rPr>
          <w:rFonts w:ascii="Arial" w:hAnsi="Arial" w:cs="Arial"/>
        </w:rPr>
      </w:pPr>
    </w:p>
    <w:p w14:paraId="41307FD2" w14:textId="77777777" w:rsidR="00326744" w:rsidRPr="000B4482" w:rsidRDefault="00326744" w:rsidP="00364C77">
      <w:pPr>
        <w:framePr w:hSpace="142" w:wrap="notBeside" w:vAnchor="text" w:hAnchor="page" w:xAlign="center" w:y="1"/>
        <w:spacing w:line="276" w:lineRule="auto"/>
        <w:jc w:val="center"/>
        <w:rPr>
          <w:rFonts w:ascii="Arial" w:hAnsi="Arial" w:cs="Arial"/>
        </w:rPr>
      </w:pPr>
    </w:p>
    <w:p w14:paraId="6157C246" w14:textId="77777777" w:rsidR="0057738B" w:rsidRDefault="0057738B" w:rsidP="00364C77">
      <w:pPr>
        <w:spacing w:line="276" w:lineRule="auto"/>
        <w:rPr>
          <w:rFonts w:ascii="Arial" w:hAnsi="Arial" w:cs="Arial"/>
          <w:b/>
        </w:rPr>
      </w:pPr>
      <w:r>
        <w:rPr>
          <w:rFonts w:ascii="Arial" w:hAnsi="Arial" w:cs="Arial"/>
          <w:b/>
        </w:rPr>
        <w:br w:type="page"/>
      </w:r>
    </w:p>
    <w:sdt>
      <w:sdtPr>
        <w:rPr>
          <w:rFonts w:ascii="Times New Roman" w:eastAsia="Times New Roman" w:hAnsi="Times New Roman" w:cs="Times New Roman"/>
          <w:b w:val="0"/>
          <w:bCs w:val="0"/>
          <w:color w:val="auto"/>
          <w:sz w:val="24"/>
          <w:szCs w:val="24"/>
        </w:rPr>
        <w:id w:val="701286229"/>
        <w:docPartObj>
          <w:docPartGallery w:val="Table of Contents"/>
          <w:docPartUnique/>
        </w:docPartObj>
      </w:sdtPr>
      <w:sdtEndPr>
        <w:rPr>
          <w:noProof/>
        </w:rPr>
      </w:sdtEndPr>
      <w:sdtContent>
        <w:p w14:paraId="2F98D780" w14:textId="77F86EA0" w:rsidR="00FE555C" w:rsidRPr="00674BE9" w:rsidRDefault="00FF481D" w:rsidP="00674BE9">
          <w:pPr>
            <w:pStyle w:val="En-ttedetabledesmatires"/>
            <w:jc w:val="center"/>
            <w:rPr>
              <w:rFonts w:ascii="Arial" w:eastAsia="Times New Roman" w:hAnsi="Arial" w:cs="Arial"/>
              <w:bCs w:val="0"/>
              <w:color w:val="auto"/>
              <w:sz w:val="24"/>
              <w:szCs w:val="24"/>
            </w:rPr>
          </w:pPr>
          <w:r w:rsidRPr="00FF481D">
            <w:rPr>
              <w:rFonts w:ascii="Arial" w:eastAsia="Times New Roman" w:hAnsi="Arial" w:cs="Arial"/>
              <w:bCs w:val="0"/>
              <w:color w:val="auto"/>
              <w:sz w:val="24"/>
              <w:szCs w:val="24"/>
            </w:rPr>
            <w:t>TABLE DES MATIERES</w:t>
          </w:r>
        </w:p>
        <w:p w14:paraId="1CA638ED" w14:textId="0B631BE5" w:rsidR="00943C45" w:rsidRDefault="00FE555C">
          <w:pPr>
            <w:pStyle w:val="TM1"/>
            <w:tabs>
              <w:tab w:val="left" w:pos="480"/>
              <w:tab w:val="right" w:leader="dot" w:pos="8921"/>
            </w:tabs>
            <w:rPr>
              <w:rFonts w:eastAsiaTheme="minorEastAsia" w:cstheme="minorBidi"/>
              <w:b w:val="0"/>
              <w:bCs w:val="0"/>
              <w:caps w:val="0"/>
              <w:noProof/>
              <w:kern w:val="2"/>
              <w:sz w:val="24"/>
              <w:szCs w:val="24"/>
              <w14:ligatures w14:val="standardContextual"/>
            </w:rPr>
          </w:pPr>
          <w:r>
            <w:rPr>
              <w:b w:val="0"/>
              <w:bCs w:val="0"/>
            </w:rPr>
            <w:fldChar w:fldCharType="begin"/>
          </w:r>
          <w:r>
            <w:instrText>TOC \o "1-3" \h \z \u</w:instrText>
          </w:r>
          <w:r>
            <w:rPr>
              <w:b w:val="0"/>
              <w:bCs w:val="0"/>
            </w:rPr>
            <w:fldChar w:fldCharType="separate"/>
          </w:r>
          <w:hyperlink w:anchor="_Toc190275135" w:history="1">
            <w:r w:rsidR="00943C45" w:rsidRPr="00321C74">
              <w:rPr>
                <w:rStyle w:val="Lienhypertexte"/>
                <w:rFonts w:cs="Arial"/>
                <w:noProof/>
              </w:rPr>
              <w:t>1.</w:t>
            </w:r>
            <w:r w:rsidR="00943C45">
              <w:rPr>
                <w:rFonts w:eastAsiaTheme="minorEastAsia" w:cstheme="minorBidi"/>
                <w:b w:val="0"/>
                <w:bCs w:val="0"/>
                <w:caps w:val="0"/>
                <w:noProof/>
                <w:kern w:val="2"/>
                <w:sz w:val="24"/>
                <w:szCs w:val="24"/>
                <w14:ligatures w14:val="standardContextual"/>
              </w:rPr>
              <w:tab/>
            </w:r>
            <w:r w:rsidR="00943C45" w:rsidRPr="00321C74">
              <w:rPr>
                <w:rStyle w:val="Lienhypertexte"/>
                <w:rFonts w:cs="Arial"/>
                <w:noProof/>
              </w:rPr>
              <w:t>OBJET</w:t>
            </w:r>
            <w:r w:rsidR="00943C45">
              <w:rPr>
                <w:noProof/>
                <w:webHidden/>
              </w:rPr>
              <w:tab/>
            </w:r>
            <w:r w:rsidR="00943C45">
              <w:rPr>
                <w:noProof/>
                <w:webHidden/>
              </w:rPr>
              <w:fldChar w:fldCharType="begin"/>
            </w:r>
            <w:r w:rsidR="00943C45">
              <w:rPr>
                <w:noProof/>
                <w:webHidden/>
              </w:rPr>
              <w:instrText xml:space="preserve"> PAGEREF _Toc190275135 \h </w:instrText>
            </w:r>
            <w:r w:rsidR="00943C45">
              <w:rPr>
                <w:noProof/>
                <w:webHidden/>
              </w:rPr>
            </w:r>
            <w:r w:rsidR="00943C45">
              <w:rPr>
                <w:noProof/>
                <w:webHidden/>
              </w:rPr>
              <w:fldChar w:fldCharType="separate"/>
            </w:r>
            <w:r w:rsidR="00943C45">
              <w:rPr>
                <w:noProof/>
                <w:webHidden/>
              </w:rPr>
              <w:t>3</w:t>
            </w:r>
            <w:r w:rsidR="00943C45">
              <w:rPr>
                <w:noProof/>
                <w:webHidden/>
              </w:rPr>
              <w:fldChar w:fldCharType="end"/>
            </w:r>
          </w:hyperlink>
        </w:p>
        <w:p w14:paraId="2FE2A6A7" w14:textId="74A624B9" w:rsidR="00943C45" w:rsidRDefault="00041800">
          <w:pPr>
            <w:pStyle w:val="TM2"/>
            <w:rPr>
              <w:rFonts w:eastAsiaTheme="minorEastAsia" w:cstheme="minorBidi"/>
              <w:smallCaps w:val="0"/>
              <w:noProof/>
              <w:kern w:val="2"/>
              <w:sz w:val="24"/>
              <w:szCs w:val="24"/>
              <w14:ligatures w14:val="standardContextual"/>
            </w:rPr>
          </w:pPr>
          <w:hyperlink w:anchor="_Toc190275136" w:history="1">
            <w:r w:rsidR="00943C45" w:rsidRPr="00321C74">
              <w:rPr>
                <w:rStyle w:val="Lienhypertexte"/>
                <w:rFonts w:ascii="Arial" w:hAnsi="Arial" w:cs="Arial"/>
                <w:noProof/>
              </w:rPr>
              <w:t>1.1.</w:t>
            </w:r>
            <w:r w:rsidR="00943C45">
              <w:rPr>
                <w:rFonts w:eastAsiaTheme="minorEastAsia" w:cstheme="minorBidi"/>
                <w:smallCaps w:val="0"/>
                <w:noProof/>
                <w:kern w:val="2"/>
                <w:sz w:val="24"/>
                <w:szCs w:val="24"/>
                <w14:ligatures w14:val="standardContextual"/>
              </w:rPr>
              <w:tab/>
            </w:r>
            <w:r w:rsidR="00943C45" w:rsidRPr="00321C74">
              <w:rPr>
                <w:rStyle w:val="Lienhypertexte"/>
                <w:rFonts w:ascii="Arial" w:hAnsi="Arial" w:cs="Arial"/>
                <w:noProof/>
              </w:rPr>
              <w:t>Objet de l’accord-cadre</w:t>
            </w:r>
            <w:r w:rsidR="00943C45">
              <w:rPr>
                <w:noProof/>
                <w:webHidden/>
              </w:rPr>
              <w:tab/>
            </w:r>
            <w:r w:rsidR="00943C45">
              <w:rPr>
                <w:noProof/>
                <w:webHidden/>
              </w:rPr>
              <w:fldChar w:fldCharType="begin"/>
            </w:r>
            <w:r w:rsidR="00943C45">
              <w:rPr>
                <w:noProof/>
                <w:webHidden/>
              </w:rPr>
              <w:instrText xml:space="preserve"> PAGEREF _Toc190275136 \h </w:instrText>
            </w:r>
            <w:r w:rsidR="00943C45">
              <w:rPr>
                <w:noProof/>
                <w:webHidden/>
              </w:rPr>
            </w:r>
            <w:r w:rsidR="00943C45">
              <w:rPr>
                <w:noProof/>
                <w:webHidden/>
              </w:rPr>
              <w:fldChar w:fldCharType="separate"/>
            </w:r>
            <w:r w:rsidR="00943C45">
              <w:rPr>
                <w:noProof/>
                <w:webHidden/>
              </w:rPr>
              <w:t>3</w:t>
            </w:r>
            <w:r w:rsidR="00943C45">
              <w:rPr>
                <w:noProof/>
                <w:webHidden/>
              </w:rPr>
              <w:fldChar w:fldCharType="end"/>
            </w:r>
          </w:hyperlink>
        </w:p>
        <w:p w14:paraId="2520243E" w14:textId="55D0CA3B" w:rsidR="00943C45" w:rsidRDefault="00041800">
          <w:pPr>
            <w:pStyle w:val="TM2"/>
            <w:rPr>
              <w:rFonts w:eastAsiaTheme="minorEastAsia" w:cstheme="minorBidi"/>
              <w:smallCaps w:val="0"/>
              <w:noProof/>
              <w:kern w:val="2"/>
              <w:sz w:val="24"/>
              <w:szCs w:val="24"/>
              <w14:ligatures w14:val="standardContextual"/>
            </w:rPr>
          </w:pPr>
          <w:hyperlink w:anchor="_Toc190275137" w:history="1">
            <w:r w:rsidR="00943C45" w:rsidRPr="00321C74">
              <w:rPr>
                <w:rStyle w:val="Lienhypertexte"/>
                <w:rFonts w:ascii="Arial" w:hAnsi="Arial" w:cs="Arial"/>
                <w:noProof/>
              </w:rPr>
              <w:t>1.2.</w:t>
            </w:r>
            <w:r w:rsidR="00943C45">
              <w:rPr>
                <w:rFonts w:eastAsiaTheme="minorEastAsia" w:cstheme="minorBidi"/>
                <w:smallCaps w:val="0"/>
                <w:noProof/>
                <w:kern w:val="2"/>
                <w:sz w:val="24"/>
                <w:szCs w:val="24"/>
                <w14:ligatures w14:val="standardContextual"/>
              </w:rPr>
              <w:tab/>
            </w:r>
            <w:r w:rsidR="00943C45" w:rsidRPr="00321C74">
              <w:rPr>
                <w:rStyle w:val="Lienhypertexte"/>
                <w:rFonts w:ascii="Arial" w:hAnsi="Arial" w:cs="Arial"/>
                <w:noProof/>
              </w:rPr>
              <w:t>Objet du cahier des clauses techniques particulières</w:t>
            </w:r>
            <w:r w:rsidR="00943C45">
              <w:rPr>
                <w:noProof/>
                <w:webHidden/>
              </w:rPr>
              <w:tab/>
            </w:r>
            <w:r w:rsidR="00943C45">
              <w:rPr>
                <w:noProof/>
                <w:webHidden/>
              </w:rPr>
              <w:fldChar w:fldCharType="begin"/>
            </w:r>
            <w:r w:rsidR="00943C45">
              <w:rPr>
                <w:noProof/>
                <w:webHidden/>
              </w:rPr>
              <w:instrText xml:space="preserve"> PAGEREF _Toc190275137 \h </w:instrText>
            </w:r>
            <w:r w:rsidR="00943C45">
              <w:rPr>
                <w:noProof/>
                <w:webHidden/>
              </w:rPr>
            </w:r>
            <w:r w:rsidR="00943C45">
              <w:rPr>
                <w:noProof/>
                <w:webHidden/>
              </w:rPr>
              <w:fldChar w:fldCharType="separate"/>
            </w:r>
            <w:r w:rsidR="00943C45">
              <w:rPr>
                <w:noProof/>
                <w:webHidden/>
              </w:rPr>
              <w:t>3</w:t>
            </w:r>
            <w:r w:rsidR="00943C45">
              <w:rPr>
                <w:noProof/>
                <w:webHidden/>
              </w:rPr>
              <w:fldChar w:fldCharType="end"/>
            </w:r>
          </w:hyperlink>
        </w:p>
        <w:p w14:paraId="5D1B349D" w14:textId="40F50466" w:rsidR="00943C45" w:rsidRDefault="00041800">
          <w:pPr>
            <w:pStyle w:val="TM1"/>
            <w:tabs>
              <w:tab w:val="left" w:pos="480"/>
              <w:tab w:val="right" w:leader="dot" w:pos="8921"/>
            </w:tabs>
            <w:rPr>
              <w:rFonts w:eastAsiaTheme="minorEastAsia" w:cstheme="minorBidi"/>
              <w:b w:val="0"/>
              <w:bCs w:val="0"/>
              <w:caps w:val="0"/>
              <w:noProof/>
              <w:kern w:val="2"/>
              <w:sz w:val="24"/>
              <w:szCs w:val="24"/>
              <w14:ligatures w14:val="standardContextual"/>
            </w:rPr>
          </w:pPr>
          <w:hyperlink w:anchor="_Toc190275138" w:history="1">
            <w:r w:rsidR="00943C45" w:rsidRPr="00321C74">
              <w:rPr>
                <w:rStyle w:val="Lienhypertexte"/>
                <w:noProof/>
              </w:rPr>
              <w:t>2.</w:t>
            </w:r>
            <w:r w:rsidR="00943C45">
              <w:rPr>
                <w:rFonts w:eastAsiaTheme="minorEastAsia" w:cstheme="minorBidi"/>
                <w:b w:val="0"/>
                <w:bCs w:val="0"/>
                <w:caps w:val="0"/>
                <w:noProof/>
                <w:kern w:val="2"/>
                <w:sz w:val="24"/>
                <w:szCs w:val="24"/>
                <w14:ligatures w14:val="standardContextual"/>
              </w:rPr>
              <w:tab/>
            </w:r>
            <w:r w:rsidR="00943C45" w:rsidRPr="00321C74">
              <w:rPr>
                <w:rStyle w:val="Lienhypertexte"/>
                <w:noProof/>
              </w:rPr>
              <w:t>DECOMPOSITION DES ELEMENTS DE MISSION</w:t>
            </w:r>
            <w:r w:rsidR="00943C45">
              <w:rPr>
                <w:noProof/>
                <w:webHidden/>
              </w:rPr>
              <w:tab/>
            </w:r>
            <w:r w:rsidR="00943C45">
              <w:rPr>
                <w:noProof/>
                <w:webHidden/>
              </w:rPr>
              <w:fldChar w:fldCharType="begin"/>
            </w:r>
            <w:r w:rsidR="00943C45">
              <w:rPr>
                <w:noProof/>
                <w:webHidden/>
              </w:rPr>
              <w:instrText xml:space="preserve"> PAGEREF _Toc190275138 \h </w:instrText>
            </w:r>
            <w:r w:rsidR="00943C45">
              <w:rPr>
                <w:noProof/>
                <w:webHidden/>
              </w:rPr>
            </w:r>
            <w:r w:rsidR="00943C45">
              <w:rPr>
                <w:noProof/>
                <w:webHidden/>
              </w:rPr>
              <w:fldChar w:fldCharType="separate"/>
            </w:r>
            <w:r w:rsidR="00943C45">
              <w:rPr>
                <w:noProof/>
                <w:webHidden/>
              </w:rPr>
              <w:t>3</w:t>
            </w:r>
            <w:r w:rsidR="00943C45">
              <w:rPr>
                <w:noProof/>
                <w:webHidden/>
              </w:rPr>
              <w:fldChar w:fldCharType="end"/>
            </w:r>
          </w:hyperlink>
        </w:p>
        <w:p w14:paraId="77BE5FEC" w14:textId="3B514070" w:rsidR="00943C45" w:rsidRDefault="00041800">
          <w:pPr>
            <w:pStyle w:val="TM1"/>
            <w:tabs>
              <w:tab w:val="left" w:pos="480"/>
              <w:tab w:val="right" w:leader="dot" w:pos="8921"/>
            </w:tabs>
            <w:rPr>
              <w:rFonts w:eastAsiaTheme="minorEastAsia" w:cstheme="minorBidi"/>
              <w:b w:val="0"/>
              <w:bCs w:val="0"/>
              <w:caps w:val="0"/>
              <w:noProof/>
              <w:kern w:val="2"/>
              <w:sz w:val="24"/>
              <w:szCs w:val="24"/>
              <w14:ligatures w14:val="standardContextual"/>
            </w:rPr>
          </w:pPr>
          <w:hyperlink w:anchor="_Toc190275139" w:history="1">
            <w:r w:rsidR="00943C45" w:rsidRPr="00321C74">
              <w:rPr>
                <w:rStyle w:val="Lienhypertexte"/>
                <w:noProof/>
              </w:rPr>
              <w:t>3.</w:t>
            </w:r>
            <w:r w:rsidR="00943C45">
              <w:rPr>
                <w:rFonts w:eastAsiaTheme="minorEastAsia" w:cstheme="minorBidi"/>
                <w:b w:val="0"/>
                <w:bCs w:val="0"/>
                <w:caps w:val="0"/>
                <w:noProof/>
                <w:kern w:val="2"/>
                <w:sz w:val="24"/>
                <w:szCs w:val="24"/>
                <w14:ligatures w14:val="standardContextual"/>
              </w:rPr>
              <w:tab/>
            </w:r>
            <w:r w:rsidR="00943C45" w:rsidRPr="00321C74">
              <w:rPr>
                <w:rStyle w:val="Lienhypertexte"/>
                <w:noProof/>
              </w:rPr>
              <w:t>ELEMENTS DE MISSION</w:t>
            </w:r>
            <w:r w:rsidR="00943C45">
              <w:rPr>
                <w:noProof/>
                <w:webHidden/>
              </w:rPr>
              <w:tab/>
            </w:r>
            <w:r w:rsidR="00943C45">
              <w:rPr>
                <w:noProof/>
                <w:webHidden/>
              </w:rPr>
              <w:fldChar w:fldCharType="begin"/>
            </w:r>
            <w:r w:rsidR="00943C45">
              <w:rPr>
                <w:noProof/>
                <w:webHidden/>
              </w:rPr>
              <w:instrText xml:space="preserve"> PAGEREF _Toc190275139 \h </w:instrText>
            </w:r>
            <w:r w:rsidR="00943C45">
              <w:rPr>
                <w:noProof/>
                <w:webHidden/>
              </w:rPr>
            </w:r>
            <w:r w:rsidR="00943C45">
              <w:rPr>
                <w:noProof/>
                <w:webHidden/>
              </w:rPr>
              <w:fldChar w:fldCharType="separate"/>
            </w:r>
            <w:r w:rsidR="00943C45">
              <w:rPr>
                <w:noProof/>
                <w:webHidden/>
              </w:rPr>
              <w:t>4</w:t>
            </w:r>
            <w:r w:rsidR="00943C45">
              <w:rPr>
                <w:noProof/>
                <w:webHidden/>
              </w:rPr>
              <w:fldChar w:fldCharType="end"/>
            </w:r>
          </w:hyperlink>
        </w:p>
        <w:p w14:paraId="5D72C85C" w14:textId="501671CF" w:rsidR="00943C45" w:rsidRDefault="00041800">
          <w:pPr>
            <w:pStyle w:val="TM2"/>
            <w:rPr>
              <w:rFonts w:eastAsiaTheme="minorEastAsia" w:cstheme="minorBidi"/>
              <w:smallCaps w:val="0"/>
              <w:noProof/>
              <w:kern w:val="2"/>
              <w:sz w:val="24"/>
              <w:szCs w:val="24"/>
              <w14:ligatures w14:val="standardContextual"/>
            </w:rPr>
          </w:pPr>
          <w:hyperlink w:anchor="_Toc190275140" w:history="1">
            <w:r w:rsidR="00943C45" w:rsidRPr="00321C74">
              <w:rPr>
                <w:rStyle w:val="Lienhypertexte"/>
                <w:rFonts w:ascii="Arial" w:hAnsi="Arial" w:cs="Arial"/>
                <w:noProof/>
              </w:rPr>
              <w:t>3.1.</w:t>
            </w:r>
            <w:r w:rsidR="00943C45">
              <w:rPr>
                <w:rFonts w:eastAsiaTheme="minorEastAsia" w:cstheme="minorBidi"/>
                <w:smallCaps w:val="0"/>
                <w:noProof/>
                <w:kern w:val="2"/>
                <w:sz w:val="24"/>
                <w:szCs w:val="24"/>
                <w14:ligatures w14:val="standardContextual"/>
              </w:rPr>
              <w:tab/>
            </w:r>
            <w:r w:rsidR="00943C45" w:rsidRPr="00321C74">
              <w:rPr>
                <w:rStyle w:val="Lienhypertexte"/>
                <w:rFonts w:ascii="Arial" w:hAnsi="Arial" w:cs="Arial"/>
                <w:noProof/>
              </w:rPr>
              <w:t>Partie technique n°1 : Études préalables</w:t>
            </w:r>
            <w:r w:rsidR="00943C45">
              <w:rPr>
                <w:noProof/>
                <w:webHidden/>
              </w:rPr>
              <w:tab/>
            </w:r>
            <w:r w:rsidR="00943C45">
              <w:rPr>
                <w:noProof/>
                <w:webHidden/>
              </w:rPr>
              <w:fldChar w:fldCharType="begin"/>
            </w:r>
            <w:r w:rsidR="00943C45">
              <w:rPr>
                <w:noProof/>
                <w:webHidden/>
              </w:rPr>
              <w:instrText xml:space="preserve"> PAGEREF _Toc190275140 \h </w:instrText>
            </w:r>
            <w:r w:rsidR="00943C45">
              <w:rPr>
                <w:noProof/>
                <w:webHidden/>
              </w:rPr>
            </w:r>
            <w:r w:rsidR="00943C45">
              <w:rPr>
                <w:noProof/>
                <w:webHidden/>
              </w:rPr>
              <w:fldChar w:fldCharType="separate"/>
            </w:r>
            <w:r w:rsidR="00943C45">
              <w:rPr>
                <w:noProof/>
                <w:webHidden/>
              </w:rPr>
              <w:t>4</w:t>
            </w:r>
            <w:r w:rsidR="00943C45">
              <w:rPr>
                <w:noProof/>
                <w:webHidden/>
              </w:rPr>
              <w:fldChar w:fldCharType="end"/>
            </w:r>
          </w:hyperlink>
        </w:p>
        <w:p w14:paraId="177D535B" w14:textId="12723A96" w:rsidR="00943C45" w:rsidRDefault="00041800">
          <w:pPr>
            <w:pStyle w:val="TM3"/>
            <w:rPr>
              <w:rFonts w:eastAsiaTheme="minorEastAsia" w:cstheme="minorBidi"/>
              <w:i w:val="0"/>
              <w:iCs w:val="0"/>
              <w:noProof/>
              <w:kern w:val="2"/>
              <w:sz w:val="24"/>
              <w:szCs w:val="24"/>
              <w14:ligatures w14:val="standardContextual"/>
            </w:rPr>
          </w:pPr>
          <w:hyperlink w:anchor="_Toc190275141" w:history="1">
            <w:r w:rsidR="00943C45" w:rsidRPr="00321C74">
              <w:rPr>
                <w:rStyle w:val="Lienhypertexte"/>
                <w:rFonts w:ascii="Arial" w:hAnsi="Arial" w:cs="Arial"/>
                <w:noProof/>
              </w:rPr>
              <w:t>3.1.1.</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Le recueil du besoin</w:t>
            </w:r>
            <w:r w:rsidR="00943C45">
              <w:rPr>
                <w:noProof/>
                <w:webHidden/>
              </w:rPr>
              <w:tab/>
            </w:r>
            <w:r w:rsidR="00943C45">
              <w:rPr>
                <w:noProof/>
                <w:webHidden/>
              </w:rPr>
              <w:fldChar w:fldCharType="begin"/>
            </w:r>
            <w:r w:rsidR="00943C45">
              <w:rPr>
                <w:noProof/>
                <w:webHidden/>
              </w:rPr>
              <w:instrText xml:space="preserve"> PAGEREF _Toc190275141 \h </w:instrText>
            </w:r>
            <w:r w:rsidR="00943C45">
              <w:rPr>
                <w:noProof/>
                <w:webHidden/>
              </w:rPr>
            </w:r>
            <w:r w:rsidR="00943C45">
              <w:rPr>
                <w:noProof/>
                <w:webHidden/>
              </w:rPr>
              <w:fldChar w:fldCharType="separate"/>
            </w:r>
            <w:r w:rsidR="00943C45">
              <w:rPr>
                <w:noProof/>
                <w:webHidden/>
              </w:rPr>
              <w:t>4</w:t>
            </w:r>
            <w:r w:rsidR="00943C45">
              <w:rPr>
                <w:noProof/>
                <w:webHidden/>
              </w:rPr>
              <w:fldChar w:fldCharType="end"/>
            </w:r>
          </w:hyperlink>
        </w:p>
        <w:p w14:paraId="3DF38D0C" w14:textId="53C760DA" w:rsidR="00943C45" w:rsidRDefault="00041800">
          <w:pPr>
            <w:pStyle w:val="TM3"/>
            <w:rPr>
              <w:rFonts w:eastAsiaTheme="minorEastAsia" w:cstheme="minorBidi"/>
              <w:i w:val="0"/>
              <w:iCs w:val="0"/>
              <w:noProof/>
              <w:kern w:val="2"/>
              <w:sz w:val="24"/>
              <w:szCs w:val="24"/>
              <w14:ligatures w14:val="standardContextual"/>
            </w:rPr>
          </w:pPr>
          <w:hyperlink w:anchor="_Toc190275142" w:history="1">
            <w:r w:rsidR="00943C45" w:rsidRPr="00321C74">
              <w:rPr>
                <w:rStyle w:val="Lienhypertexte"/>
                <w:rFonts w:ascii="Arial" w:hAnsi="Arial" w:cs="Arial"/>
                <w:noProof/>
              </w:rPr>
              <w:t>3.1.2.</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L’élaboration des Chartes</w:t>
            </w:r>
            <w:r w:rsidR="00943C45">
              <w:rPr>
                <w:noProof/>
                <w:webHidden/>
              </w:rPr>
              <w:tab/>
            </w:r>
            <w:r w:rsidR="00943C45">
              <w:rPr>
                <w:noProof/>
                <w:webHidden/>
              </w:rPr>
              <w:fldChar w:fldCharType="begin"/>
            </w:r>
            <w:r w:rsidR="00943C45">
              <w:rPr>
                <w:noProof/>
                <w:webHidden/>
              </w:rPr>
              <w:instrText xml:space="preserve"> PAGEREF _Toc190275142 \h </w:instrText>
            </w:r>
            <w:r w:rsidR="00943C45">
              <w:rPr>
                <w:noProof/>
                <w:webHidden/>
              </w:rPr>
            </w:r>
            <w:r w:rsidR="00943C45">
              <w:rPr>
                <w:noProof/>
                <w:webHidden/>
              </w:rPr>
              <w:fldChar w:fldCharType="separate"/>
            </w:r>
            <w:r w:rsidR="00943C45">
              <w:rPr>
                <w:noProof/>
                <w:webHidden/>
              </w:rPr>
              <w:t>5</w:t>
            </w:r>
            <w:r w:rsidR="00943C45">
              <w:rPr>
                <w:noProof/>
                <w:webHidden/>
              </w:rPr>
              <w:fldChar w:fldCharType="end"/>
            </w:r>
          </w:hyperlink>
        </w:p>
        <w:p w14:paraId="4376C7AC" w14:textId="342E6427" w:rsidR="00943C45" w:rsidRDefault="00041800">
          <w:pPr>
            <w:pStyle w:val="TM3"/>
            <w:rPr>
              <w:rFonts w:eastAsiaTheme="minorEastAsia" w:cstheme="minorBidi"/>
              <w:i w:val="0"/>
              <w:iCs w:val="0"/>
              <w:noProof/>
              <w:kern w:val="2"/>
              <w:sz w:val="24"/>
              <w:szCs w:val="24"/>
              <w14:ligatures w14:val="standardContextual"/>
            </w:rPr>
          </w:pPr>
          <w:hyperlink w:anchor="_Toc190275143" w:history="1">
            <w:r w:rsidR="00943C45" w:rsidRPr="00321C74">
              <w:rPr>
                <w:rStyle w:val="Lienhypertexte"/>
                <w:rFonts w:ascii="Arial" w:hAnsi="Arial" w:cs="Arial"/>
                <w:noProof/>
              </w:rPr>
              <w:t>3.1.3.</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La mise à jour des chartes</w:t>
            </w:r>
            <w:r w:rsidR="00943C45">
              <w:rPr>
                <w:noProof/>
                <w:webHidden/>
              </w:rPr>
              <w:tab/>
            </w:r>
            <w:r w:rsidR="00943C45">
              <w:rPr>
                <w:noProof/>
                <w:webHidden/>
              </w:rPr>
              <w:fldChar w:fldCharType="begin"/>
            </w:r>
            <w:r w:rsidR="00943C45">
              <w:rPr>
                <w:noProof/>
                <w:webHidden/>
              </w:rPr>
              <w:instrText xml:space="preserve"> PAGEREF _Toc190275143 \h </w:instrText>
            </w:r>
            <w:r w:rsidR="00943C45">
              <w:rPr>
                <w:noProof/>
                <w:webHidden/>
              </w:rPr>
            </w:r>
            <w:r w:rsidR="00943C45">
              <w:rPr>
                <w:noProof/>
                <w:webHidden/>
              </w:rPr>
              <w:fldChar w:fldCharType="separate"/>
            </w:r>
            <w:r w:rsidR="00943C45">
              <w:rPr>
                <w:noProof/>
                <w:webHidden/>
              </w:rPr>
              <w:t>6</w:t>
            </w:r>
            <w:r w:rsidR="00943C45">
              <w:rPr>
                <w:noProof/>
                <w:webHidden/>
              </w:rPr>
              <w:fldChar w:fldCharType="end"/>
            </w:r>
          </w:hyperlink>
        </w:p>
        <w:p w14:paraId="3ED6E1CF" w14:textId="66166867" w:rsidR="00943C45" w:rsidRDefault="00041800">
          <w:pPr>
            <w:pStyle w:val="TM2"/>
            <w:rPr>
              <w:rFonts w:eastAsiaTheme="minorEastAsia" w:cstheme="minorBidi"/>
              <w:smallCaps w:val="0"/>
              <w:noProof/>
              <w:kern w:val="2"/>
              <w:sz w:val="24"/>
              <w:szCs w:val="24"/>
              <w14:ligatures w14:val="standardContextual"/>
            </w:rPr>
          </w:pPr>
          <w:hyperlink w:anchor="_Toc190275144" w:history="1">
            <w:r w:rsidR="00943C45" w:rsidRPr="00321C74">
              <w:rPr>
                <w:rStyle w:val="Lienhypertexte"/>
                <w:rFonts w:ascii="Arial" w:hAnsi="Arial" w:cs="Arial"/>
                <w:iCs/>
                <w:noProof/>
              </w:rPr>
              <w:t>3.2.</w:t>
            </w:r>
            <w:r w:rsidR="00943C45">
              <w:rPr>
                <w:rFonts w:eastAsiaTheme="minorEastAsia" w:cstheme="minorBidi"/>
                <w:smallCaps w:val="0"/>
                <w:noProof/>
                <w:kern w:val="2"/>
                <w:sz w:val="24"/>
                <w:szCs w:val="24"/>
                <w14:ligatures w14:val="standardContextual"/>
              </w:rPr>
              <w:tab/>
            </w:r>
            <w:r w:rsidR="00943C45" w:rsidRPr="00321C74">
              <w:rPr>
                <w:rStyle w:val="Lienhypertexte"/>
                <w:rFonts w:ascii="Arial" w:hAnsi="Arial" w:cs="Arial"/>
                <w:noProof/>
              </w:rPr>
              <w:t>Partie technique n°2 : Assistance à maîtrise d’ouvrage pour l’aménagement d’espaces de travail – Space planning</w:t>
            </w:r>
            <w:r w:rsidR="00943C45">
              <w:rPr>
                <w:noProof/>
                <w:webHidden/>
              </w:rPr>
              <w:tab/>
            </w:r>
            <w:r w:rsidR="00943C45">
              <w:rPr>
                <w:noProof/>
                <w:webHidden/>
              </w:rPr>
              <w:fldChar w:fldCharType="begin"/>
            </w:r>
            <w:r w:rsidR="00943C45">
              <w:rPr>
                <w:noProof/>
                <w:webHidden/>
              </w:rPr>
              <w:instrText xml:space="preserve"> PAGEREF _Toc190275144 \h </w:instrText>
            </w:r>
            <w:r w:rsidR="00943C45">
              <w:rPr>
                <w:noProof/>
                <w:webHidden/>
              </w:rPr>
            </w:r>
            <w:r w:rsidR="00943C45">
              <w:rPr>
                <w:noProof/>
                <w:webHidden/>
              </w:rPr>
              <w:fldChar w:fldCharType="separate"/>
            </w:r>
            <w:r w:rsidR="00943C45">
              <w:rPr>
                <w:noProof/>
                <w:webHidden/>
              </w:rPr>
              <w:t>6</w:t>
            </w:r>
            <w:r w:rsidR="00943C45">
              <w:rPr>
                <w:noProof/>
                <w:webHidden/>
              </w:rPr>
              <w:fldChar w:fldCharType="end"/>
            </w:r>
          </w:hyperlink>
        </w:p>
        <w:p w14:paraId="54A1913F" w14:textId="6814607D" w:rsidR="00943C45" w:rsidRDefault="00041800">
          <w:pPr>
            <w:pStyle w:val="TM3"/>
            <w:rPr>
              <w:rFonts w:eastAsiaTheme="minorEastAsia" w:cstheme="minorBidi"/>
              <w:i w:val="0"/>
              <w:iCs w:val="0"/>
              <w:noProof/>
              <w:kern w:val="2"/>
              <w:sz w:val="24"/>
              <w:szCs w:val="24"/>
              <w14:ligatures w14:val="standardContextual"/>
            </w:rPr>
          </w:pPr>
          <w:hyperlink w:anchor="_Toc190275145" w:history="1">
            <w:r w:rsidR="00943C45" w:rsidRPr="00321C74">
              <w:rPr>
                <w:rStyle w:val="Lienhypertexte"/>
                <w:rFonts w:ascii="Arial" w:hAnsi="Arial" w:cs="Arial"/>
                <w:noProof/>
              </w:rPr>
              <w:t>3.2.1.</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n°2.1 : Consolidation du besoin</w:t>
            </w:r>
            <w:r w:rsidR="00943C45">
              <w:rPr>
                <w:noProof/>
                <w:webHidden/>
              </w:rPr>
              <w:tab/>
            </w:r>
            <w:r w:rsidR="00943C45">
              <w:rPr>
                <w:noProof/>
                <w:webHidden/>
              </w:rPr>
              <w:fldChar w:fldCharType="begin"/>
            </w:r>
            <w:r w:rsidR="00943C45">
              <w:rPr>
                <w:noProof/>
                <w:webHidden/>
              </w:rPr>
              <w:instrText xml:space="preserve"> PAGEREF _Toc190275145 \h </w:instrText>
            </w:r>
            <w:r w:rsidR="00943C45">
              <w:rPr>
                <w:noProof/>
                <w:webHidden/>
              </w:rPr>
            </w:r>
            <w:r w:rsidR="00943C45">
              <w:rPr>
                <w:noProof/>
                <w:webHidden/>
              </w:rPr>
              <w:fldChar w:fldCharType="separate"/>
            </w:r>
            <w:r w:rsidR="00943C45">
              <w:rPr>
                <w:noProof/>
                <w:webHidden/>
              </w:rPr>
              <w:t>6</w:t>
            </w:r>
            <w:r w:rsidR="00943C45">
              <w:rPr>
                <w:noProof/>
                <w:webHidden/>
              </w:rPr>
              <w:fldChar w:fldCharType="end"/>
            </w:r>
          </w:hyperlink>
        </w:p>
        <w:p w14:paraId="554E0FED" w14:textId="1A494714" w:rsidR="00943C45" w:rsidRDefault="00041800">
          <w:pPr>
            <w:pStyle w:val="TM3"/>
            <w:rPr>
              <w:rFonts w:eastAsiaTheme="minorEastAsia" w:cstheme="minorBidi"/>
              <w:i w:val="0"/>
              <w:iCs w:val="0"/>
              <w:noProof/>
              <w:kern w:val="2"/>
              <w:sz w:val="24"/>
              <w:szCs w:val="24"/>
              <w14:ligatures w14:val="standardContextual"/>
            </w:rPr>
          </w:pPr>
          <w:hyperlink w:anchor="_Toc190275146" w:history="1">
            <w:r w:rsidR="00943C45" w:rsidRPr="00321C74">
              <w:rPr>
                <w:rStyle w:val="Lienhypertexte"/>
                <w:rFonts w:ascii="Arial" w:hAnsi="Arial" w:cs="Arial"/>
                <w:noProof/>
              </w:rPr>
              <w:t>3.2.2.</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n°2.2 : Suivi d’études de conception</w:t>
            </w:r>
            <w:r w:rsidR="00943C45">
              <w:rPr>
                <w:noProof/>
                <w:webHidden/>
              </w:rPr>
              <w:tab/>
            </w:r>
            <w:r w:rsidR="00943C45">
              <w:rPr>
                <w:noProof/>
                <w:webHidden/>
              </w:rPr>
              <w:fldChar w:fldCharType="begin"/>
            </w:r>
            <w:r w:rsidR="00943C45">
              <w:rPr>
                <w:noProof/>
                <w:webHidden/>
              </w:rPr>
              <w:instrText xml:space="preserve"> PAGEREF _Toc190275146 \h </w:instrText>
            </w:r>
            <w:r w:rsidR="00943C45">
              <w:rPr>
                <w:noProof/>
                <w:webHidden/>
              </w:rPr>
            </w:r>
            <w:r w:rsidR="00943C45">
              <w:rPr>
                <w:noProof/>
                <w:webHidden/>
              </w:rPr>
              <w:fldChar w:fldCharType="separate"/>
            </w:r>
            <w:r w:rsidR="00943C45">
              <w:rPr>
                <w:noProof/>
                <w:webHidden/>
              </w:rPr>
              <w:t>7</w:t>
            </w:r>
            <w:r w:rsidR="00943C45">
              <w:rPr>
                <w:noProof/>
                <w:webHidden/>
              </w:rPr>
              <w:fldChar w:fldCharType="end"/>
            </w:r>
          </w:hyperlink>
        </w:p>
        <w:p w14:paraId="2EC5E279" w14:textId="79452EB4" w:rsidR="00943C45" w:rsidRDefault="00041800">
          <w:pPr>
            <w:pStyle w:val="TM3"/>
            <w:rPr>
              <w:rFonts w:eastAsiaTheme="minorEastAsia" w:cstheme="minorBidi"/>
              <w:i w:val="0"/>
              <w:iCs w:val="0"/>
              <w:noProof/>
              <w:kern w:val="2"/>
              <w:sz w:val="24"/>
              <w:szCs w:val="24"/>
              <w14:ligatures w14:val="standardContextual"/>
            </w:rPr>
          </w:pPr>
          <w:hyperlink w:anchor="_Toc190275147" w:history="1">
            <w:r w:rsidR="00943C45" w:rsidRPr="00321C74">
              <w:rPr>
                <w:rStyle w:val="Lienhypertexte"/>
                <w:rFonts w:ascii="Arial" w:hAnsi="Arial" w:cs="Arial"/>
                <w:noProof/>
              </w:rPr>
              <w:t>3.2.3.</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 xml:space="preserve">Sous-partie technique n°2.3 : Suivi des travaux et de l’emménagement </w:t>
            </w:r>
            <w:r w:rsidR="00943C45">
              <w:rPr>
                <w:noProof/>
                <w:webHidden/>
              </w:rPr>
              <w:tab/>
            </w:r>
            <w:r w:rsidR="00943C45">
              <w:rPr>
                <w:noProof/>
                <w:webHidden/>
              </w:rPr>
              <w:fldChar w:fldCharType="begin"/>
            </w:r>
            <w:r w:rsidR="00943C45">
              <w:rPr>
                <w:noProof/>
                <w:webHidden/>
              </w:rPr>
              <w:instrText xml:space="preserve"> PAGEREF _Toc190275147 \h </w:instrText>
            </w:r>
            <w:r w:rsidR="00943C45">
              <w:rPr>
                <w:noProof/>
                <w:webHidden/>
              </w:rPr>
            </w:r>
            <w:r w:rsidR="00943C45">
              <w:rPr>
                <w:noProof/>
                <w:webHidden/>
              </w:rPr>
              <w:fldChar w:fldCharType="separate"/>
            </w:r>
            <w:r w:rsidR="00943C45">
              <w:rPr>
                <w:noProof/>
                <w:webHidden/>
              </w:rPr>
              <w:t>7</w:t>
            </w:r>
            <w:r w:rsidR="00943C45">
              <w:rPr>
                <w:noProof/>
                <w:webHidden/>
              </w:rPr>
              <w:fldChar w:fldCharType="end"/>
            </w:r>
          </w:hyperlink>
        </w:p>
        <w:p w14:paraId="788DFA98" w14:textId="068D3654" w:rsidR="00943C45" w:rsidRDefault="00041800">
          <w:pPr>
            <w:pStyle w:val="TM2"/>
            <w:rPr>
              <w:rFonts w:eastAsiaTheme="minorEastAsia" w:cstheme="minorBidi"/>
              <w:smallCaps w:val="0"/>
              <w:noProof/>
              <w:kern w:val="2"/>
              <w:sz w:val="24"/>
              <w:szCs w:val="24"/>
              <w14:ligatures w14:val="standardContextual"/>
            </w:rPr>
          </w:pPr>
          <w:hyperlink w:anchor="_Toc190275148" w:history="1">
            <w:r w:rsidR="00943C45" w:rsidRPr="00321C74">
              <w:rPr>
                <w:rStyle w:val="Lienhypertexte"/>
                <w:rFonts w:ascii="Arial" w:hAnsi="Arial" w:cs="Arial"/>
                <w:iCs/>
                <w:noProof/>
              </w:rPr>
              <w:t>3.3.</w:t>
            </w:r>
            <w:r w:rsidR="00943C45">
              <w:rPr>
                <w:rFonts w:eastAsiaTheme="minorEastAsia" w:cstheme="minorBidi"/>
                <w:smallCaps w:val="0"/>
                <w:noProof/>
                <w:kern w:val="2"/>
                <w:sz w:val="24"/>
                <w:szCs w:val="24"/>
                <w14:ligatures w14:val="standardContextual"/>
              </w:rPr>
              <w:tab/>
            </w:r>
            <w:r w:rsidR="00943C45" w:rsidRPr="00321C74">
              <w:rPr>
                <w:rStyle w:val="Lienhypertexte"/>
                <w:rFonts w:ascii="Arial" w:hAnsi="Arial" w:cs="Arial"/>
                <w:noProof/>
              </w:rPr>
              <w:t>Partie technique n°3 : Mission de base et missions complémentaires de maîtrise d’œuvre pour les opération du périmètre de l’accord-cadre</w:t>
            </w:r>
            <w:r w:rsidR="00943C45">
              <w:rPr>
                <w:noProof/>
                <w:webHidden/>
              </w:rPr>
              <w:tab/>
            </w:r>
            <w:r w:rsidR="00943C45">
              <w:rPr>
                <w:noProof/>
                <w:webHidden/>
              </w:rPr>
              <w:fldChar w:fldCharType="begin"/>
            </w:r>
            <w:r w:rsidR="00943C45">
              <w:rPr>
                <w:noProof/>
                <w:webHidden/>
              </w:rPr>
              <w:instrText xml:space="preserve"> PAGEREF _Toc190275148 \h </w:instrText>
            </w:r>
            <w:r w:rsidR="00943C45">
              <w:rPr>
                <w:noProof/>
                <w:webHidden/>
              </w:rPr>
            </w:r>
            <w:r w:rsidR="00943C45">
              <w:rPr>
                <w:noProof/>
                <w:webHidden/>
              </w:rPr>
              <w:fldChar w:fldCharType="separate"/>
            </w:r>
            <w:r w:rsidR="00943C45">
              <w:rPr>
                <w:noProof/>
                <w:webHidden/>
              </w:rPr>
              <w:t>8</w:t>
            </w:r>
            <w:r w:rsidR="00943C45">
              <w:rPr>
                <w:noProof/>
                <w:webHidden/>
              </w:rPr>
              <w:fldChar w:fldCharType="end"/>
            </w:r>
          </w:hyperlink>
        </w:p>
        <w:p w14:paraId="79D393B9" w14:textId="248C8BF7" w:rsidR="00943C45" w:rsidRDefault="00041800">
          <w:pPr>
            <w:pStyle w:val="TM3"/>
            <w:rPr>
              <w:rFonts w:eastAsiaTheme="minorEastAsia" w:cstheme="minorBidi"/>
              <w:i w:val="0"/>
              <w:iCs w:val="0"/>
              <w:noProof/>
              <w:kern w:val="2"/>
              <w:sz w:val="24"/>
              <w:szCs w:val="24"/>
              <w14:ligatures w14:val="standardContextual"/>
            </w:rPr>
          </w:pPr>
          <w:hyperlink w:anchor="_Toc190275149" w:history="1">
            <w:r w:rsidR="00943C45" w:rsidRPr="00321C74">
              <w:rPr>
                <w:rStyle w:val="Lienhypertexte"/>
                <w:rFonts w:ascii="Arial" w:hAnsi="Arial" w:cs="Arial"/>
                <w:noProof/>
              </w:rPr>
              <w:t>3.3.1.</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Mission de base</w:t>
            </w:r>
            <w:r w:rsidR="00943C45">
              <w:rPr>
                <w:noProof/>
                <w:webHidden/>
              </w:rPr>
              <w:tab/>
            </w:r>
            <w:r w:rsidR="00943C45">
              <w:rPr>
                <w:noProof/>
                <w:webHidden/>
              </w:rPr>
              <w:fldChar w:fldCharType="begin"/>
            </w:r>
            <w:r w:rsidR="00943C45">
              <w:rPr>
                <w:noProof/>
                <w:webHidden/>
              </w:rPr>
              <w:instrText xml:space="preserve"> PAGEREF _Toc190275149 \h </w:instrText>
            </w:r>
            <w:r w:rsidR="00943C45">
              <w:rPr>
                <w:noProof/>
                <w:webHidden/>
              </w:rPr>
            </w:r>
            <w:r w:rsidR="00943C45">
              <w:rPr>
                <w:noProof/>
                <w:webHidden/>
              </w:rPr>
              <w:fldChar w:fldCharType="separate"/>
            </w:r>
            <w:r w:rsidR="00943C45">
              <w:rPr>
                <w:noProof/>
                <w:webHidden/>
              </w:rPr>
              <w:t>8</w:t>
            </w:r>
            <w:r w:rsidR="00943C45">
              <w:rPr>
                <w:noProof/>
                <w:webHidden/>
              </w:rPr>
              <w:fldChar w:fldCharType="end"/>
            </w:r>
          </w:hyperlink>
        </w:p>
        <w:p w14:paraId="44D71FCF" w14:textId="20096D2B" w:rsidR="00943C45" w:rsidRDefault="00041800">
          <w:pPr>
            <w:pStyle w:val="TM3"/>
            <w:rPr>
              <w:rFonts w:eastAsiaTheme="minorEastAsia" w:cstheme="minorBidi"/>
              <w:i w:val="0"/>
              <w:iCs w:val="0"/>
              <w:noProof/>
              <w:kern w:val="2"/>
              <w:sz w:val="24"/>
              <w:szCs w:val="24"/>
              <w14:ligatures w14:val="standardContextual"/>
            </w:rPr>
          </w:pPr>
          <w:hyperlink w:anchor="_Toc190275150" w:history="1">
            <w:r w:rsidR="00943C45" w:rsidRPr="00321C74">
              <w:rPr>
                <w:rStyle w:val="Lienhypertexte"/>
                <w:rFonts w:ascii="Arial" w:hAnsi="Arial" w:cs="Arial"/>
                <w:noProof/>
              </w:rPr>
              <w:t>3.3.1.1.</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Études d’avant-projet sommaire (APS)</w:t>
            </w:r>
            <w:r w:rsidR="00943C45">
              <w:rPr>
                <w:noProof/>
                <w:webHidden/>
              </w:rPr>
              <w:tab/>
            </w:r>
            <w:r w:rsidR="00943C45">
              <w:rPr>
                <w:noProof/>
                <w:webHidden/>
              </w:rPr>
              <w:fldChar w:fldCharType="begin"/>
            </w:r>
            <w:r w:rsidR="00943C45">
              <w:rPr>
                <w:noProof/>
                <w:webHidden/>
              </w:rPr>
              <w:instrText xml:space="preserve"> PAGEREF _Toc190275150 \h </w:instrText>
            </w:r>
            <w:r w:rsidR="00943C45">
              <w:rPr>
                <w:noProof/>
                <w:webHidden/>
              </w:rPr>
            </w:r>
            <w:r w:rsidR="00943C45">
              <w:rPr>
                <w:noProof/>
                <w:webHidden/>
              </w:rPr>
              <w:fldChar w:fldCharType="separate"/>
            </w:r>
            <w:r w:rsidR="00943C45">
              <w:rPr>
                <w:noProof/>
                <w:webHidden/>
              </w:rPr>
              <w:t>8</w:t>
            </w:r>
            <w:r w:rsidR="00943C45">
              <w:rPr>
                <w:noProof/>
                <w:webHidden/>
              </w:rPr>
              <w:fldChar w:fldCharType="end"/>
            </w:r>
          </w:hyperlink>
        </w:p>
        <w:p w14:paraId="0BEC2EEE" w14:textId="0DF14CD1" w:rsidR="00943C45" w:rsidRDefault="00041800">
          <w:pPr>
            <w:pStyle w:val="TM3"/>
            <w:rPr>
              <w:rFonts w:eastAsiaTheme="minorEastAsia" w:cstheme="minorBidi"/>
              <w:i w:val="0"/>
              <w:iCs w:val="0"/>
              <w:noProof/>
              <w:kern w:val="2"/>
              <w:sz w:val="24"/>
              <w:szCs w:val="24"/>
              <w14:ligatures w14:val="standardContextual"/>
            </w:rPr>
          </w:pPr>
          <w:hyperlink w:anchor="_Toc190275151" w:history="1">
            <w:r w:rsidR="00943C45" w:rsidRPr="00321C74">
              <w:rPr>
                <w:rStyle w:val="Lienhypertexte"/>
                <w:rFonts w:ascii="Arial" w:hAnsi="Arial" w:cs="Arial"/>
                <w:noProof/>
              </w:rPr>
              <w:t>3.3.1.2.</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Études d’avant-projet définitif (APD)</w:t>
            </w:r>
            <w:r w:rsidR="00943C45">
              <w:rPr>
                <w:noProof/>
                <w:webHidden/>
              </w:rPr>
              <w:tab/>
            </w:r>
            <w:r w:rsidR="00943C45">
              <w:rPr>
                <w:noProof/>
                <w:webHidden/>
              </w:rPr>
              <w:fldChar w:fldCharType="begin"/>
            </w:r>
            <w:r w:rsidR="00943C45">
              <w:rPr>
                <w:noProof/>
                <w:webHidden/>
              </w:rPr>
              <w:instrText xml:space="preserve"> PAGEREF _Toc190275151 \h </w:instrText>
            </w:r>
            <w:r w:rsidR="00943C45">
              <w:rPr>
                <w:noProof/>
                <w:webHidden/>
              </w:rPr>
            </w:r>
            <w:r w:rsidR="00943C45">
              <w:rPr>
                <w:noProof/>
                <w:webHidden/>
              </w:rPr>
              <w:fldChar w:fldCharType="separate"/>
            </w:r>
            <w:r w:rsidR="00943C45">
              <w:rPr>
                <w:noProof/>
                <w:webHidden/>
              </w:rPr>
              <w:t>10</w:t>
            </w:r>
            <w:r w:rsidR="00943C45">
              <w:rPr>
                <w:noProof/>
                <w:webHidden/>
              </w:rPr>
              <w:fldChar w:fldCharType="end"/>
            </w:r>
          </w:hyperlink>
        </w:p>
        <w:p w14:paraId="7ED1150F" w14:textId="13022B5A" w:rsidR="00943C45" w:rsidRDefault="00041800">
          <w:pPr>
            <w:pStyle w:val="TM3"/>
            <w:rPr>
              <w:rFonts w:eastAsiaTheme="minorEastAsia" w:cstheme="minorBidi"/>
              <w:i w:val="0"/>
              <w:iCs w:val="0"/>
              <w:noProof/>
              <w:kern w:val="2"/>
              <w:sz w:val="24"/>
              <w:szCs w:val="24"/>
              <w14:ligatures w14:val="standardContextual"/>
            </w:rPr>
          </w:pPr>
          <w:hyperlink w:anchor="_Toc190275152" w:history="1">
            <w:r w:rsidR="00943C45" w:rsidRPr="00321C74">
              <w:rPr>
                <w:rStyle w:val="Lienhypertexte"/>
                <w:rFonts w:ascii="Arial" w:hAnsi="Arial" w:cs="Arial"/>
                <w:noProof/>
              </w:rPr>
              <w:t>3.3.1.3.</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Études de projet (PRO)</w:t>
            </w:r>
            <w:r w:rsidR="00943C45">
              <w:rPr>
                <w:noProof/>
                <w:webHidden/>
              </w:rPr>
              <w:tab/>
            </w:r>
            <w:r w:rsidR="00943C45">
              <w:rPr>
                <w:noProof/>
                <w:webHidden/>
              </w:rPr>
              <w:fldChar w:fldCharType="begin"/>
            </w:r>
            <w:r w:rsidR="00943C45">
              <w:rPr>
                <w:noProof/>
                <w:webHidden/>
              </w:rPr>
              <w:instrText xml:space="preserve"> PAGEREF _Toc190275152 \h </w:instrText>
            </w:r>
            <w:r w:rsidR="00943C45">
              <w:rPr>
                <w:noProof/>
                <w:webHidden/>
              </w:rPr>
            </w:r>
            <w:r w:rsidR="00943C45">
              <w:rPr>
                <w:noProof/>
                <w:webHidden/>
              </w:rPr>
              <w:fldChar w:fldCharType="separate"/>
            </w:r>
            <w:r w:rsidR="00943C45">
              <w:rPr>
                <w:noProof/>
                <w:webHidden/>
              </w:rPr>
              <w:t>12</w:t>
            </w:r>
            <w:r w:rsidR="00943C45">
              <w:rPr>
                <w:noProof/>
                <w:webHidden/>
              </w:rPr>
              <w:fldChar w:fldCharType="end"/>
            </w:r>
          </w:hyperlink>
        </w:p>
        <w:p w14:paraId="3621CDEC" w14:textId="1456F4C7" w:rsidR="00943C45" w:rsidRDefault="00041800">
          <w:pPr>
            <w:pStyle w:val="TM3"/>
            <w:rPr>
              <w:rFonts w:eastAsiaTheme="minorEastAsia" w:cstheme="minorBidi"/>
              <w:i w:val="0"/>
              <w:iCs w:val="0"/>
              <w:noProof/>
              <w:kern w:val="2"/>
              <w:sz w:val="24"/>
              <w:szCs w:val="24"/>
              <w14:ligatures w14:val="standardContextual"/>
            </w:rPr>
          </w:pPr>
          <w:hyperlink w:anchor="_Toc190275153" w:history="1">
            <w:r w:rsidR="00943C45" w:rsidRPr="00321C74">
              <w:rPr>
                <w:rStyle w:val="Lienhypertexte"/>
                <w:rFonts w:ascii="Arial" w:hAnsi="Arial" w:cs="Arial"/>
                <w:noProof/>
              </w:rPr>
              <w:t>3.3.1.4.</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Assistance pour la passation des marchés de travaux (AMT)</w:t>
            </w:r>
            <w:r w:rsidR="00943C45">
              <w:rPr>
                <w:noProof/>
                <w:webHidden/>
              </w:rPr>
              <w:tab/>
            </w:r>
            <w:r w:rsidR="00943C45">
              <w:rPr>
                <w:noProof/>
                <w:webHidden/>
              </w:rPr>
              <w:fldChar w:fldCharType="begin"/>
            </w:r>
            <w:r w:rsidR="00943C45">
              <w:rPr>
                <w:noProof/>
                <w:webHidden/>
              </w:rPr>
              <w:instrText xml:space="preserve"> PAGEREF _Toc190275153 \h </w:instrText>
            </w:r>
            <w:r w:rsidR="00943C45">
              <w:rPr>
                <w:noProof/>
                <w:webHidden/>
              </w:rPr>
            </w:r>
            <w:r w:rsidR="00943C45">
              <w:rPr>
                <w:noProof/>
                <w:webHidden/>
              </w:rPr>
              <w:fldChar w:fldCharType="separate"/>
            </w:r>
            <w:r w:rsidR="00943C45">
              <w:rPr>
                <w:noProof/>
                <w:webHidden/>
              </w:rPr>
              <w:t>14</w:t>
            </w:r>
            <w:r w:rsidR="00943C45">
              <w:rPr>
                <w:noProof/>
                <w:webHidden/>
              </w:rPr>
              <w:fldChar w:fldCharType="end"/>
            </w:r>
          </w:hyperlink>
        </w:p>
        <w:p w14:paraId="49E598BF" w14:textId="19E58850" w:rsidR="00943C45" w:rsidRDefault="00041800">
          <w:pPr>
            <w:pStyle w:val="TM3"/>
            <w:rPr>
              <w:rFonts w:eastAsiaTheme="minorEastAsia" w:cstheme="minorBidi"/>
              <w:i w:val="0"/>
              <w:iCs w:val="0"/>
              <w:noProof/>
              <w:kern w:val="2"/>
              <w:sz w:val="24"/>
              <w:szCs w:val="24"/>
              <w14:ligatures w14:val="standardContextual"/>
            </w:rPr>
          </w:pPr>
          <w:hyperlink w:anchor="_Toc190275154" w:history="1">
            <w:r w:rsidR="00943C45" w:rsidRPr="00321C74">
              <w:rPr>
                <w:rStyle w:val="Lienhypertexte"/>
                <w:rFonts w:ascii="Arial" w:hAnsi="Arial" w:cs="Arial"/>
                <w:noProof/>
              </w:rPr>
              <w:t>3.3.1.5.</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Les études d’exécution (EXE)</w:t>
            </w:r>
            <w:r w:rsidR="00943C45">
              <w:rPr>
                <w:noProof/>
                <w:webHidden/>
              </w:rPr>
              <w:tab/>
            </w:r>
            <w:r w:rsidR="00943C45">
              <w:rPr>
                <w:noProof/>
                <w:webHidden/>
              </w:rPr>
              <w:fldChar w:fldCharType="begin"/>
            </w:r>
            <w:r w:rsidR="00943C45">
              <w:rPr>
                <w:noProof/>
                <w:webHidden/>
              </w:rPr>
              <w:instrText xml:space="preserve"> PAGEREF _Toc190275154 \h </w:instrText>
            </w:r>
            <w:r w:rsidR="00943C45">
              <w:rPr>
                <w:noProof/>
                <w:webHidden/>
              </w:rPr>
            </w:r>
            <w:r w:rsidR="00943C45">
              <w:rPr>
                <w:noProof/>
                <w:webHidden/>
              </w:rPr>
              <w:fldChar w:fldCharType="separate"/>
            </w:r>
            <w:r w:rsidR="00943C45">
              <w:rPr>
                <w:noProof/>
                <w:webHidden/>
              </w:rPr>
              <w:t>17</w:t>
            </w:r>
            <w:r w:rsidR="00943C45">
              <w:rPr>
                <w:noProof/>
                <w:webHidden/>
              </w:rPr>
              <w:fldChar w:fldCharType="end"/>
            </w:r>
          </w:hyperlink>
        </w:p>
        <w:p w14:paraId="0821B234" w14:textId="127C383E" w:rsidR="00943C45" w:rsidRDefault="00041800">
          <w:pPr>
            <w:pStyle w:val="TM3"/>
            <w:rPr>
              <w:rFonts w:eastAsiaTheme="minorEastAsia" w:cstheme="minorBidi"/>
              <w:i w:val="0"/>
              <w:iCs w:val="0"/>
              <w:noProof/>
              <w:kern w:val="2"/>
              <w:sz w:val="24"/>
              <w:szCs w:val="24"/>
              <w14:ligatures w14:val="standardContextual"/>
            </w:rPr>
          </w:pPr>
          <w:hyperlink w:anchor="_Toc190275155" w:history="1">
            <w:r w:rsidR="00943C45" w:rsidRPr="00321C74">
              <w:rPr>
                <w:rStyle w:val="Lienhypertexte"/>
                <w:rFonts w:ascii="Arial" w:hAnsi="Arial" w:cs="Arial"/>
                <w:noProof/>
              </w:rPr>
              <w:t>3.3.1.6.</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les VISA des études d’exécution</w:t>
            </w:r>
            <w:r w:rsidR="00943C45">
              <w:rPr>
                <w:noProof/>
                <w:webHidden/>
              </w:rPr>
              <w:tab/>
            </w:r>
            <w:r w:rsidR="00943C45">
              <w:rPr>
                <w:noProof/>
                <w:webHidden/>
              </w:rPr>
              <w:fldChar w:fldCharType="begin"/>
            </w:r>
            <w:r w:rsidR="00943C45">
              <w:rPr>
                <w:noProof/>
                <w:webHidden/>
              </w:rPr>
              <w:instrText xml:space="preserve"> PAGEREF _Toc190275155 \h </w:instrText>
            </w:r>
            <w:r w:rsidR="00943C45">
              <w:rPr>
                <w:noProof/>
                <w:webHidden/>
              </w:rPr>
            </w:r>
            <w:r w:rsidR="00943C45">
              <w:rPr>
                <w:noProof/>
                <w:webHidden/>
              </w:rPr>
              <w:fldChar w:fldCharType="separate"/>
            </w:r>
            <w:r w:rsidR="00943C45">
              <w:rPr>
                <w:noProof/>
                <w:webHidden/>
              </w:rPr>
              <w:t>19</w:t>
            </w:r>
            <w:r w:rsidR="00943C45">
              <w:rPr>
                <w:noProof/>
                <w:webHidden/>
              </w:rPr>
              <w:fldChar w:fldCharType="end"/>
            </w:r>
          </w:hyperlink>
        </w:p>
        <w:p w14:paraId="0FBE2E10" w14:textId="2DAC6A24" w:rsidR="00943C45" w:rsidRDefault="00041800">
          <w:pPr>
            <w:pStyle w:val="TM3"/>
            <w:rPr>
              <w:rFonts w:eastAsiaTheme="minorEastAsia" w:cstheme="minorBidi"/>
              <w:i w:val="0"/>
              <w:iCs w:val="0"/>
              <w:noProof/>
              <w:kern w:val="2"/>
              <w:sz w:val="24"/>
              <w:szCs w:val="24"/>
              <w14:ligatures w14:val="standardContextual"/>
            </w:rPr>
          </w:pPr>
          <w:hyperlink w:anchor="_Toc190275156" w:history="1">
            <w:r w:rsidR="00943C45" w:rsidRPr="00321C74">
              <w:rPr>
                <w:rStyle w:val="Lienhypertexte"/>
                <w:rFonts w:ascii="Arial" w:hAnsi="Arial" w:cs="Arial"/>
                <w:noProof/>
              </w:rPr>
              <w:t>3.3.1.7.</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La Direction de l’Exécution des contrats de Tavaux (DET)</w:t>
            </w:r>
            <w:r w:rsidR="00943C45">
              <w:rPr>
                <w:noProof/>
                <w:webHidden/>
              </w:rPr>
              <w:tab/>
            </w:r>
            <w:r w:rsidR="00943C45">
              <w:rPr>
                <w:noProof/>
                <w:webHidden/>
              </w:rPr>
              <w:fldChar w:fldCharType="begin"/>
            </w:r>
            <w:r w:rsidR="00943C45">
              <w:rPr>
                <w:noProof/>
                <w:webHidden/>
              </w:rPr>
              <w:instrText xml:space="preserve"> PAGEREF _Toc190275156 \h </w:instrText>
            </w:r>
            <w:r w:rsidR="00943C45">
              <w:rPr>
                <w:noProof/>
                <w:webHidden/>
              </w:rPr>
            </w:r>
            <w:r w:rsidR="00943C45">
              <w:rPr>
                <w:noProof/>
                <w:webHidden/>
              </w:rPr>
              <w:fldChar w:fldCharType="separate"/>
            </w:r>
            <w:r w:rsidR="00943C45">
              <w:rPr>
                <w:noProof/>
                <w:webHidden/>
              </w:rPr>
              <w:t>19</w:t>
            </w:r>
            <w:r w:rsidR="00943C45">
              <w:rPr>
                <w:noProof/>
                <w:webHidden/>
              </w:rPr>
              <w:fldChar w:fldCharType="end"/>
            </w:r>
          </w:hyperlink>
        </w:p>
        <w:p w14:paraId="0DF9E5FF" w14:textId="20DE1BAB" w:rsidR="00943C45" w:rsidRDefault="00041800">
          <w:pPr>
            <w:pStyle w:val="TM3"/>
            <w:rPr>
              <w:rFonts w:eastAsiaTheme="minorEastAsia" w:cstheme="minorBidi"/>
              <w:i w:val="0"/>
              <w:iCs w:val="0"/>
              <w:noProof/>
              <w:kern w:val="2"/>
              <w:sz w:val="24"/>
              <w:szCs w:val="24"/>
              <w14:ligatures w14:val="standardContextual"/>
            </w:rPr>
          </w:pPr>
          <w:hyperlink w:anchor="_Toc190275157" w:history="1">
            <w:r w:rsidR="00943C45" w:rsidRPr="00321C74">
              <w:rPr>
                <w:rStyle w:val="Lienhypertexte"/>
                <w:rFonts w:ascii="Arial" w:hAnsi="Arial" w:cs="Arial"/>
                <w:noProof/>
              </w:rPr>
              <w:t>3.3.1.8.</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Assistance pour la réception et pendant la garantie de parfait achèvement (AOR et GPA)</w:t>
            </w:r>
            <w:r w:rsidR="00943C45">
              <w:rPr>
                <w:noProof/>
                <w:webHidden/>
              </w:rPr>
              <w:tab/>
            </w:r>
            <w:r w:rsidR="00943C45">
              <w:rPr>
                <w:noProof/>
                <w:webHidden/>
              </w:rPr>
              <w:fldChar w:fldCharType="begin"/>
            </w:r>
            <w:r w:rsidR="00943C45">
              <w:rPr>
                <w:noProof/>
                <w:webHidden/>
              </w:rPr>
              <w:instrText xml:space="preserve"> PAGEREF _Toc190275157 \h </w:instrText>
            </w:r>
            <w:r w:rsidR="00943C45">
              <w:rPr>
                <w:noProof/>
                <w:webHidden/>
              </w:rPr>
            </w:r>
            <w:r w:rsidR="00943C45">
              <w:rPr>
                <w:noProof/>
                <w:webHidden/>
              </w:rPr>
              <w:fldChar w:fldCharType="separate"/>
            </w:r>
            <w:r w:rsidR="00943C45">
              <w:rPr>
                <w:noProof/>
                <w:webHidden/>
              </w:rPr>
              <w:t>21</w:t>
            </w:r>
            <w:r w:rsidR="00943C45">
              <w:rPr>
                <w:noProof/>
                <w:webHidden/>
              </w:rPr>
              <w:fldChar w:fldCharType="end"/>
            </w:r>
          </w:hyperlink>
        </w:p>
        <w:p w14:paraId="46F9145E" w14:textId="64294B5E" w:rsidR="00943C45" w:rsidRDefault="00041800">
          <w:pPr>
            <w:pStyle w:val="TM3"/>
            <w:rPr>
              <w:rFonts w:eastAsiaTheme="minorEastAsia" w:cstheme="minorBidi"/>
              <w:i w:val="0"/>
              <w:iCs w:val="0"/>
              <w:noProof/>
              <w:kern w:val="2"/>
              <w:sz w:val="24"/>
              <w:szCs w:val="24"/>
              <w14:ligatures w14:val="standardContextual"/>
            </w:rPr>
          </w:pPr>
          <w:hyperlink w:anchor="_Toc190275158" w:history="1">
            <w:r w:rsidR="00943C45" w:rsidRPr="00321C74">
              <w:rPr>
                <w:rStyle w:val="Lienhypertexte"/>
                <w:rFonts w:ascii="Arial" w:hAnsi="Arial" w:cs="Arial"/>
                <w:noProof/>
              </w:rPr>
              <w:t>3.3.2.</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Missions complémentaires</w:t>
            </w:r>
            <w:r w:rsidR="00943C45">
              <w:rPr>
                <w:noProof/>
                <w:webHidden/>
              </w:rPr>
              <w:tab/>
            </w:r>
            <w:r w:rsidR="00943C45">
              <w:rPr>
                <w:noProof/>
                <w:webHidden/>
              </w:rPr>
              <w:fldChar w:fldCharType="begin"/>
            </w:r>
            <w:r w:rsidR="00943C45">
              <w:rPr>
                <w:noProof/>
                <w:webHidden/>
              </w:rPr>
              <w:instrText xml:space="preserve"> PAGEREF _Toc190275158 \h </w:instrText>
            </w:r>
            <w:r w:rsidR="00943C45">
              <w:rPr>
                <w:noProof/>
                <w:webHidden/>
              </w:rPr>
            </w:r>
            <w:r w:rsidR="00943C45">
              <w:rPr>
                <w:noProof/>
                <w:webHidden/>
              </w:rPr>
              <w:fldChar w:fldCharType="separate"/>
            </w:r>
            <w:r w:rsidR="00943C45">
              <w:rPr>
                <w:noProof/>
                <w:webHidden/>
              </w:rPr>
              <w:t>23</w:t>
            </w:r>
            <w:r w:rsidR="00943C45">
              <w:rPr>
                <w:noProof/>
                <w:webHidden/>
              </w:rPr>
              <w:fldChar w:fldCharType="end"/>
            </w:r>
          </w:hyperlink>
        </w:p>
        <w:p w14:paraId="5C8F44D8" w14:textId="0D8A7249" w:rsidR="00943C45" w:rsidRDefault="00041800">
          <w:pPr>
            <w:pStyle w:val="TM3"/>
            <w:rPr>
              <w:rFonts w:eastAsiaTheme="minorEastAsia" w:cstheme="minorBidi"/>
              <w:i w:val="0"/>
              <w:iCs w:val="0"/>
              <w:noProof/>
              <w:kern w:val="2"/>
              <w:sz w:val="24"/>
              <w:szCs w:val="24"/>
              <w14:ligatures w14:val="standardContextual"/>
            </w:rPr>
          </w:pPr>
          <w:hyperlink w:anchor="_Toc190275159" w:history="1">
            <w:r w:rsidR="00943C45" w:rsidRPr="00321C74">
              <w:rPr>
                <w:rStyle w:val="Lienhypertexte"/>
                <w:rFonts w:ascii="Arial" w:hAnsi="Arial" w:cs="Arial"/>
                <w:noProof/>
              </w:rPr>
              <w:t>3.3.2.1.</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Diagnostic (DIAG)</w:t>
            </w:r>
            <w:r w:rsidR="00943C45">
              <w:rPr>
                <w:noProof/>
                <w:webHidden/>
              </w:rPr>
              <w:tab/>
            </w:r>
            <w:r w:rsidR="00943C45">
              <w:rPr>
                <w:noProof/>
                <w:webHidden/>
              </w:rPr>
              <w:fldChar w:fldCharType="begin"/>
            </w:r>
            <w:r w:rsidR="00943C45">
              <w:rPr>
                <w:noProof/>
                <w:webHidden/>
              </w:rPr>
              <w:instrText xml:space="preserve"> PAGEREF _Toc190275159 \h </w:instrText>
            </w:r>
            <w:r w:rsidR="00943C45">
              <w:rPr>
                <w:noProof/>
                <w:webHidden/>
              </w:rPr>
            </w:r>
            <w:r w:rsidR="00943C45">
              <w:rPr>
                <w:noProof/>
                <w:webHidden/>
              </w:rPr>
              <w:fldChar w:fldCharType="separate"/>
            </w:r>
            <w:r w:rsidR="00943C45">
              <w:rPr>
                <w:noProof/>
                <w:webHidden/>
              </w:rPr>
              <w:t>23</w:t>
            </w:r>
            <w:r w:rsidR="00943C45">
              <w:rPr>
                <w:noProof/>
                <w:webHidden/>
              </w:rPr>
              <w:fldChar w:fldCharType="end"/>
            </w:r>
          </w:hyperlink>
        </w:p>
        <w:p w14:paraId="7F51057B" w14:textId="77786ECB" w:rsidR="00943C45" w:rsidRDefault="00041800">
          <w:pPr>
            <w:pStyle w:val="TM3"/>
            <w:rPr>
              <w:rFonts w:eastAsiaTheme="minorEastAsia" w:cstheme="minorBidi"/>
              <w:i w:val="0"/>
              <w:iCs w:val="0"/>
              <w:noProof/>
              <w:kern w:val="2"/>
              <w:sz w:val="24"/>
              <w:szCs w:val="24"/>
              <w14:ligatures w14:val="standardContextual"/>
            </w:rPr>
          </w:pPr>
          <w:hyperlink w:anchor="_Toc190275160" w:history="1">
            <w:r w:rsidR="00943C45" w:rsidRPr="00321C74">
              <w:rPr>
                <w:rStyle w:val="Lienhypertexte"/>
                <w:rFonts w:ascii="Arial" w:hAnsi="Arial" w:cs="Arial"/>
                <w:noProof/>
              </w:rPr>
              <w:t>3.3.2.2.</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Coordination des systèmes de sécurité incendie (SSI)</w:t>
            </w:r>
            <w:r w:rsidR="00943C45">
              <w:rPr>
                <w:noProof/>
                <w:webHidden/>
              </w:rPr>
              <w:tab/>
            </w:r>
            <w:r w:rsidR="00943C45">
              <w:rPr>
                <w:noProof/>
                <w:webHidden/>
              </w:rPr>
              <w:fldChar w:fldCharType="begin"/>
            </w:r>
            <w:r w:rsidR="00943C45">
              <w:rPr>
                <w:noProof/>
                <w:webHidden/>
              </w:rPr>
              <w:instrText xml:space="preserve"> PAGEREF _Toc190275160 \h </w:instrText>
            </w:r>
            <w:r w:rsidR="00943C45">
              <w:rPr>
                <w:noProof/>
                <w:webHidden/>
              </w:rPr>
            </w:r>
            <w:r w:rsidR="00943C45">
              <w:rPr>
                <w:noProof/>
                <w:webHidden/>
              </w:rPr>
              <w:fldChar w:fldCharType="separate"/>
            </w:r>
            <w:r w:rsidR="00943C45">
              <w:rPr>
                <w:noProof/>
                <w:webHidden/>
              </w:rPr>
              <w:t>24</w:t>
            </w:r>
            <w:r w:rsidR="00943C45">
              <w:rPr>
                <w:noProof/>
                <w:webHidden/>
              </w:rPr>
              <w:fldChar w:fldCharType="end"/>
            </w:r>
          </w:hyperlink>
        </w:p>
        <w:p w14:paraId="624C38EA" w14:textId="31ACFF03" w:rsidR="00943C45" w:rsidRDefault="00041800">
          <w:pPr>
            <w:pStyle w:val="TM3"/>
            <w:rPr>
              <w:rFonts w:eastAsiaTheme="minorEastAsia" w:cstheme="minorBidi"/>
              <w:i w:val="0"/>
              <w:iCs w:val="0"/>
              <w:noProof/>
              <w:kern w:val="2"/>
              <w:sz w:val="24"/>
              <w:szCs w:val="24"/>
              <w14:ligatures w14:val="standardContextual"/>
            </w:rPr>
          </w:pPr>
          <w:hyperlink w:anchor="_Toc190275161" w:history="1">
            <w:r w:rsidR="00943C45" w:rsidRPr="00321C74">
              <w:rPr>
                <w:rStyle w:val="Lienhypertexte"/>
                <w:rFonts w:ascii="Arial" w:hAnsi="Arial" w:cs="Arial"/>
                <w:noProof/>
              </w:rPr>
              <w:t>3.3.2.3.</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Sous-partie technique : Ingénierie de désamiantage</w:t>
            </w:r>
            <w:r w:rsidR="00943C45">
              <w:rPr>
                <w:noProof/>
                <w:webHidden/>
              </w:rPr>
              <w:tab/>
            </w:r>
            <w:r w:rsidR="00943C45">
              <w:rPr>
                <w:noProof/>
                <w:webHidden/>
              </w:rPr>
              <w:fldChar w:fldCharType="begin"/>
            </w:r>
            <w:r w:rsidR="00943C45">
              <w:rPr>
                <w:noProof/>
                <w:webHidden/>
              </w:rPr>
              <w:instrText xml:space="preserve"> PAGEREF _Toc190275161 \h </w:instrText>
            </w:r>
            <w:r w:rsidR="00943C45">
              <w:rPr>
                <w:noProof/>
                <w:webHidden/>
              </w:rPr>
            </w:r>
            <w:r w:rsidR="00943C45">
              <w:rPr>
                <w:noProof/>
                <w:webHidden/>
              </w:rPr>
              <w:fldChar w:fldCharType="separate"/>
            </w:r>
            <w:r w:rsidR="00943C45">
              <w:rPr>
                <w:noProof/>
                <w:webHidden/>
              </w:rPr>
              <w:t>24</w:t>
            </w:r>
            <w:r w:rsidR="00943C45">
              <w:rPr>
                <w:noProof/>
                <w:webHidden/>
              </w:rPr>
              <w:fldChar w:fldCharType="end"/>
            </w:r>
          </w:hyperlink>
        </w:p>
        <w:p w14:paraId="2130652B" w14:textId="39EB510B" w:rsidR="00943C45" w:rsidRDefault="00041800">
          <w:pPr>
            <w:pStyle w:val="TM3"/>
            <w:rPr>
              <w:rFonts w:eastAsiaTheme="minorEastAsia" w:cstheme="minorBidi"/>
              <w:i w:val="0"/>
              <w:iCs w:val="0"/>
              <w:noProof/>
              <w:kern w:val="2"/>
              <w:sz w:val="24"/>
              <w:szCs w:val="24"/>
              <w14:ligatures w14:val="standardContextual"/>
            </w:rPr>
          </w:pPr>
          <w:hyperlink w:anchor="_Toc190275162" w:history="1">
            <w:r w:rsidR="00943C45" w:rsidRPr="00321C74">
              <w:rPr>
                <w:rStyle w:val="Lienhypertexte"/>
                <w:rFonts w:ascii="Arial" w:hAnsi="Arial" w:cs="Arial"/>
                <w:noProof/>
              </w:rPr>
              <w:t>3.3.3.</w:t>
            </w:r>
            <w:r w:rsidR="00943C45">
              <w:rPr>
                <w:rFonts w:eastAsiaTheme="minorEastAsia" w:cstheme="minorBidi"/>
                <w:i w:val="0"/>
                <w:iCs w:val="0"/>
                <w:noProof/>
                <w:kern w:val="2"/>
                <w:sz w:val="24"/>
                <w:szCs w:val="24"/>
                <w14:ligatures w14:val="standardContextual"/>
              </w:rPr>
              <w:tab/>
            </w:r>
            <w:r w:rsidR="00943C45" w:rsidRPr="00321C74">
              <w:rPr>
                <w:rStyle w:val="Lienhypertexte"/>
                <w:rFonts w:ascii="Arial" w:hAnsi="Arial" w:cs="Arial"/>
                <w:noProof/>
              </w:rPr>
              <w:t>Les missions transversales</w:t>
            </w:r>
            <w:r w:rsidR="00943C45">
              <w:rPr>
                <w:noProof/>
                <w:webHidden/>
              </w:rPr>
              <w:tab/>
            </w:r>
            <w:r w:rsidR="00943C45">
              <w:rPr>
                <w:noProof/>
                <w:webHidden/>
              </w:rPr>
              <w:fldChar w:fldCharType="begin"/>
            </w:r>
            <w:r w:rsidR="00943C45">
              <w:rPr>
                <w:noProof/>
                <w:webHidden/>
              </w:rPr>
              <w:instrText xml:space="preserve"> PAGEREF _Toc190275162 \h </w:instrText>
            </w:r>
            <w:r w:rsidR="00943C45">
              <w:rPr>
                <w:noProof/>
                <w:webHidden/>
              </w:rPr>
            </w:r>
            <w:r w:rsidR="00943C45">
              <w:rPr>
                <w:noProof/>
                <w:webHidden/>
              </w:rPr>
              <w:fldChar w:fldCharType="separate"/>
            </w:r>
            <w:r w:rsidR="00943C45">
              <w:rPr>
                <w:noProof/>
                <w:webHidden/>
              </w:rPr>
              <w:t>26</w:t>
            </w:r>
            <w:r w:rsidR="00943C45">
              <w:rPr>
                <w:noProof/>
                <w:webHidden/>
              </w:rPr>
              <w:fldChar w:fldCharType="end"/>
            </w:r>
          </w:hyperlink>
        </w:p>
        <w:p w14:paraId="58A5D545" w14:textId="64651766" w:rsidR="00943C45" w:rsidRDefault="00041800">
          <w:pPr>
            <w:pStyle w:val="TM2"/>
            <w:rPr>
              <w:rFonts w:eastAsiaTheme="minorEastAsia" w:cstheme="minorBidi"/>
              <w:smallCaps w:val="0"/>
              <w:noProof/>
              <w:kern w:val="2"/>
              <w:sz w:val="24"/>
              <w:szCs w:val="24"/>
              <w14:ligatures w14:val="standardContextual"/>
            </w:rPr>
          </w:pPr>
          <w:hyperlink w:anchor="_Toc190275163" w:history="1">
            <w:r w:rsidR="00943C45" w:rsidRPr="00321C74">
              <w:rPr>
                <w:rStyle w:val="Lienhypertexte"/>
                <w:rFonts w:ascii="Arial" w:hAnsi="Arial" w:cs="Arial"/>
                <w:noProof/>
              </w:rPr>
              <w:t>3.4.</w:t>
            </w:r>
            <w:r w:rsidR="00943C45">
              <w:rPr>
                <w:rFonts w:eastAsiaTheme="minorEastAsia" w:cstheme="minorBidi"/>
                <w:smallCaps w:val="0"/>
                <w:noProof/>
                <w:kern w:val="2"/>
                <w:sz w:val="24"/>
                <w:szCs w:val="24"/>
                <w14:ligatures w14:val="standardContextual"/>
              </w:rPr>
              <w:tab/>
            </w:r>
            <w:r w:rsidR="00943C45" w:rsidRPr="00321C74">
              <w:rPr>
                <w:rStyle w:val="Lienhypertexte"/>
                <w:rFonts w:ascii="Arial" w:hAnsi="Arial" w:cs="Arial"/>
                <w:noProof/>
              </w:rPr>
              <w:t>Partie technique n°4 : Assistance au suivi et à la vérification de la cohérence architecturale d’opérations</w:t>
            </w:r>
            <w:r w:rsidR="00943C45">
              <w:rPr>
                <w:noProof/>
                <w:webHidden/>
              </w:rPr>
              <w:tab/>
            </w:r>
            <w:r w:rsidR="00943C45">
              <w:rPr>
                <w:noProof/>
                <w:webHidden/>
              </w:rPr>
              <w:fldChar w:fldCharType="begin"/>
            </w:r>
            <w:r w:rsidR="00943C45">
              <w:rPr>
                <w:noProof/>
                <w:webHidden/>
              </w:rPr>
              <w:instrText xml:space="preserve"> PAGEREF _Toc190275163 \h </w:instrText>
            </w:r>
            <w:r w:rsidR="00943C45">
              <w:rPr>
                <w:noProof/>
                <w:webHidden/>
              </w:rPr>
            </w:r>
            <w:r w:rsidR="00943C45">
              <w:rPr>
                <w:noProof/>
                <w:webHidden/>
              </w:rPr>
              <w:fldChar w:fldCharType="separate"/>
            </w:r>
            <w:r w:rsidR="00943C45">
              <w:rPr>
                <w:noProof/>
                <w:webHidden/>
              </w:rPr>
              <w:t>30</w:t>
            </w:r>
            <w:r w:rsidR="00943C45">
              <w:rPr>
                <w:noProof/>
                <w:webHidden/>
              </w:rPr>
              <w:fldChar w:fldCharType="end"/>
            </w:r>
          </w:hyperlink>
        </w:p>
        <w:p w14:paraId="1590242B" w14:textId="6CF3B02D" w:rsidR="00FE555C" w:rsidRDefault="00FE555C">
          <w:r>
            <w:rPr>
              <w:b/>
              <w:bCs/>
              <w:noProof/>
            </w:rPr>
            <w:fldChar w:fldCharType="end"/>
          </w:r>
        </w:p>
      </w:sdtContent>
    </w:sdt>
    <w:p w14:paraId="0293DD84" w14:textId="313B7670" w:rsidR="00F53B71" w:rsidRPr="00DF0582" w:rsidRDefault="00F53B71" w:rsidP="00364C77">
      <w:pPr>
        <w:widowControl w:val="0"/>
        <w:tabs>
          <w:tab w:val="left" w:pos="9356"/>
        </w:tabs>
        <w:spacing w:line="276" w:lineRule="auto"/>
        <w:rPr>
          <w:rFonts w:ascii="Arial" w:hAnsi="Arial" w:cs="Arial"/>
          <w:b/>
        </w:rPr>
        <w:sectPr w:rsidR="00F53B71" w:rsidRPr="00DF0582" w:rsidSect="00674BE9">
          <w:headerReference w:type="even" r:id="rId12"/>
          <w:footerReference w:type="default" r:id="rId13"/>
          <w:footnotePr>
            <w:numRestart w:val="eachSect"/>
          </w:footnotePr>
          <w:pgSz w:w="11907" w:h="16840" w:code="9"/>
          <w:pgMar w:top="1418" w:right="1275" w:bottom="1418" w:left="1701" w:header="567" w:footer="567" w:gutter="0"/>
          <w:cols w:space="708"/>
        </w:sectPr>
      </w:pPr>
    </w:p>
    <w:p w14:paraId="7DA5C972" w14:textId="56D1AC65" w:rsidR="00F53B71" w:rsidRPr="000B4482" w:rsidRDefault="00CD3E01" w:rsidP="002E5731">
      <w:pPr>
        <w:pStyle w:val="Titre1article"/>
        <w:tabs>
          <w:tab w:val="clear" w:pos="0"/>
          <w:tab w:val="num" w:pos="-2138"/>
        </w:tabs>
        <w:spacing w:line="276" w:lineRule="auto"/>
        <w:rPr>
          <w:rFonts w:cs="Arial"/>
        </w:rPr>
      </w:pPr>
      <w:bookmarkStart w:id="0" w:name="_Toc147847969"/>
      <w:bookmarkStart w:id="1" w:name="_Toc190275135"/>
      <w:bookmarkStart w:id="2" w:name="_Toc469724426"/>
      <w:bookmarkStart w:id="3" w:name="_Toc470069125"/>
      <w:bookmarkStart w:id="4" w:name="_Toc487965600"/>
      <w:bookmarkStart w:id="5" w:name="_Toc487591038"/>
      <w:r w:rsidRPr="000B4482">
        <w:rPr>
          <w:rFonts w:cs="Arial"/>
        </w:rPr>
        <w:lastRenderedPageBreak/>
        <w:t>OBJET</w:t>
      </w:r>
      <w:bookmarkEnd w:id="0"/>
      <w:bookmarkEnd w:id="1"/>
    </w:p>
    <w:bookmarkEnd w:id="2"/>
    <w:bookmarkEnd w:id="3"/>
    <w:bookmarkEnd w:id="4"/>
    <w:p w14:paraId="1EC3D2E5" w14:textId="28F4570A" w:rsidR="00D25C68" w:rsidRDefault="00311BC9" w:rsidP="00F750B2">
      <w:pPr>
        <w:spacing w:line="276" w:lineRule="auto"/>
        <w:jc w:val="both"/>
        <w:rPr>
          <w:rFonts w:ascii="Arial" w:hAnsi="Arial" w:cs="Arial"/>
          <w:sz w:val="20"/>
          <w:szCs w:val="20"/>
        </w:rPr>
      </w:pPr>
      <w:r>
        <w:rPr>
          <w:rFonts w:ascii="Arial" w:hAnsi="Arial" w:cs="Arial"/>
          <w:sz w:val="20"/>
          <w:szCs w:val="20"/>
        </w:rPr>
        <w:t xml:space="preserve">Le présent </w:t>
      </w:r>
      <w:r w:rsidR="00D25C68">
        <w:rPr>
          <w:rFonts w:ascii="Arial" w:hAnsi="Arial" w:cs="Arial"/>
          <w:sz w:val="20"/>
          <w:szCs w:val="20"/>
        </w:rPr>
        <w:t xml:space="preserve">document constitue l’annexe 1 du CCTP du présent </w:t>
      </w:r>
      <w:r>
        <w:rPr>
          <w:rFonts w:ascii="Arial" w:hAnsi="Arial" w:cs="Arial"/>
          <w:sz w:val="20"/>
          <w:szCs w:val="20"/>
        </w:rPr>
        <w:t>accord-cadre de prestations intellectuelle</w:t>
      </w:r>
      <w:r w:rsidR="00D25C68">
        <w:rPr>
          <w:rFonts w:ascii="Arial" w:hAnsi="Arial" w:cs="Arial"/>
          <w:sz w:val="20"/>
          <w:szCs w:val="20"/>
        </w:rPr>
        <w:t>.</w:t>
      </w:r>
    </w:p>
    <w:p w14:paraId="4BB115A1" w14:textId="7508885A" w:rsidR="005011F8" w:rsidRDefault="00D25C68" w:rsidP="00D25C68">
      <w:pPr>
        <w:spacing w:line="276" w:lineRule="auto"/>
        <w:jc w:val="both"/>
        <w:rPr>
          <w:rFonts w:ascii="Arial" w:hAnsi="Arial" w:cs="Arial"/>
          <w:sz w:val="20"/>
          <w:szCs w:val="20"/>
        </w:rPr>
      </w:pPr>
      <w:r>
        <w:rPr>
          <w:rFonts w:ascii="Arial" w:hAnsi="Arial" w:cs="Arial"/>
          <w:sz w:val="20"/>
          <w:szCs w:val="20"/>
        </w:rPr>
        <w:t xml:space="preserve">L’objectif est de présenter l’Université, aux candidats, son fonctionnement, le contexte dans lequel s’inscrit le présent accord cadre, le contexte patrimonial en termes de bâtiments et de site paysager. </w:t>
      </w:r>
    </w:p>
    <w:p w14:paraId="0764B273" w14:textId="1BEFFF57" w:rsidR="00844C5A" w:rsidRDefault="00D25C68" w:rsidP="00F750B2">
      <w:pPr>
        <w:spacing w:line="276" w:lineRule="auto"/>
        <w:jc w:val="both"/>
        <w:rPr>
          <w:rFonts w:ascii="Arial" w:hAnsi="Arial" w:cs="Arial"/>
          <w:sz w:val="20"/>
          <w:szCs w:val="20"/>
        </w:rPr>
      </w:pPr>
      <w:r>
        <w:rPr>
          <w:rFonts w:ascii="Arial" w:hAnsi="Arial" w:cs="Arial"/>
          <w:sz w:val="20"/>
          <w:szCs w:val="20"/>
        </w:rPr>
        <w:t>Le candidat s’engage à prendre connaissance de cette annexe au même titre que le CCTP.</w:t>
      </w:r>
    </w:p>
    <w:p w14:paraId="612361CE" w14:textId="77777777" w:rsidR="00D25C68" w:rsidRDefault="00D25C68" w:rsidP="00F750B2">
      <w:pPr>
        <w:spacing w:line="276" w:lineRule="auto"/>
        <w:jc w:val="both"/>
        <w:rPr>
          <w:rFonts w:ascii="Arial" w:hAnsi="Arial" w:cs="Arial"/>
          <w:sz w:val="20"/>
          <w:szCs w:val="20"/>
        </w:rPr>
      </w:pPr>
    </w:p>
    <w:p w14:paraId="3E26B13A" w14:textId="783A0F2E" w:rsidR="00375DF8" w:rsidRPr="000B4482" w:rsidRDefault="00D25C68" w:rsidP="002E5731">
      <w:pPr>
        <w:pStyle w:val="Titre1article"/>
        <w:tabs>
          <w:tab w:val="clear" w:pos="0"/>
          <w:tab w:val="num" w:pos="-1069"/>
        </w:tabs>
        <w:spacing w:line="276" w:lineRule="auto"/>
      </w:pPr>
      <w:bookmarkStart w:id="6" w:name="_Toc39066997"/>
      <w:bookmarkStart w:id="7" w:name="_Toc39067041"/>
      <w:bookmarkStart w:id="8" w:name="_Toc39066809"/>
      <w:bookmarkStart w:id="9" w:name="_Toc39066957"/>
      <w:bookmarkStart w:id="10" w:name="_Toc39066999"/>
      <w:bookmarkStart w:id="11" w:name="_Toc39067043"/>
      <w:bookmarkStart w:id="12" w:name="_Toc78620505"/>
      <w:bookmarkEnd w:id="5"/>
      <w:bookmarkEnd w:id="6"/>
      <w:bookmarkEnd w:id="7"/>
      <w:bookmarkEnd w:id="8"/>
      <w:bookmarkEnd w:id="9"/>
      <w:bookmarkEnd w:id="10"/>
      <w:bookmarkEnd w:id="11"/>
      <w:r>
        <w:t>PREAMBULE</w:t>
      </w:r>
    </w:p>
    <w:p w14:paraId="5748892D" w14:textId="77777777" w:rsidR="00A455BA" w:rsidRPr="00A455BA" w:rsidRDefault="00A455BA" w:rsidP="00A455BA">
      <w:pPr>
        <w:spacing w:line="276" w:lineRule="auto"/>
        <w:jc w:val="both"/>
        <w:rPr>
          <w:rFonts w:ascii="Arial" w:hAnsi="Arial" w:cs="Arial"/>
          <w:sz w:val="20"/>
          <w:szCs w:val="20"/>
        </w:rPr>
      </w:pPr>
      <w:r w:rsidRPr="00A455BA">
        <w:rPr>
          <w:rFonts w:ascii="Arial" w:hAnsi="Arial" w:cs="Arial"/>
          <w:sz w:val="20"/>
          <w:szCs w:val="20"/>
        </w:rPr>
        <w:t>L’Université Paris-Saclay a été créée pour répondre au défi de la compétition globale pour l’enseignement, la recherche et l’innovation à l’échelle internationale. Elle fédère un potentiel scientifique exceptionnel d’établissements de nature variée mais complémentaires : universités, grandes écoles et organismes nationaux de recherche.</w:t>
      </w:r>
    </w:p>
    <w:p w14:paraId="14C378B0" w14:textId="77777777" w:rsidR="00A455BA" w:rsidRPr="00A455BA" w:rsidRDefault="00A455BA" w:rsidP="00A455BA">
      <w:pPr>
        <w:spacing w:line="276" w:lineRule="auto"/>
        <w:jc w:val="both"/>
        <w:rPr>
          <w:rFonts w:ascii="Arial" w:hAnsi="Arial" w:cs="Arial"/>
          <w:sz w:val="20"/>
          <w:szCs w:val="20"/>
        </w:rPr>
      </w:pPr>
    </w:p>
    <w:p w14:paraId="29F9BCA6" w14:textId="77777777" w:rsidR="00A455BA" w:rsidRPr="00A455BA" w:rsidRDefault="00A455BA" w:rsidP="00A455BA">
      <w:pPr>
        <w:spacing w:line="276" w:lineRule="auto"/>
        <w:jc w:val="both"/>
        <w:rPr>
          <w:rFonts w:ascii="Arial" w:hAnsi="Arial" w:cs="Arial"/>
          <w:sz w:val="20"/>
          <w:szCs w:val="20"/>
        </w:rPr>
      </w:pPr>
      <w:r w:rsidRPr="00A455BA">
        <w:rPr>
          <w:rFonts w:ascii="Arial" w:hAnsi="Arial" w:cs="Arial"/>
          <w:sz w:val="20"/>
          <w:szCs w:val="20"/>
        </w:rPr>
        <w:t xml:space="preserve">L’Université Paris-Saclay représente 65 000 étudiants, 9 000 enseignants-chercheurs et 10 000 personnels techniques et administratifs. </w:t>
      </w:r>
    </w:p>
    <w:p w14:paraId="6CC6F56F" w14:textId="77777777" w:rsidR="00A455BA" w:rsidRPr="00A455BA" w:rsidRDefault="00A455BA" w:rsidP="00A455BA">
      <w:pPr>
        <w:spacing w:line="276" w:lineRule="auto"/>
        <w:jc w:val="both"/>
        <w:rPr>
          <w:rFonts w:ascii="Arial" w:hAnsi="Arial" w:cs="Arial"/>
          <w:sz w:val="20"/>
          <w:szCs w:val="20"/>
        </w:rPr>
      </w:pPr>
    </w:p>
    <w:p w14:paraId="27C287F4" w14:textId="77777777" w:rsidR="00A455BA" w:rsidRPr="00A455BA" w:rsidRDefault="00A455BA" w:rsidP="00A455BA">
      <w:pPr>
        <w:spacing w:line="276" w:lineRule="auto"/>
        <w:jc w:val="both"/>
        <w:rPr>
          <w:rFonts w:ascii="Arial" w:hAnsi="Arial" w:cs="Arial"/>
          <w:sz w:val="20"/>
          <w:szCs w:val="20"/>
        </w:rPr>
      </w:pPr>
      <w:r w:rsidRPr="00A455BA">
        <w:rPr>
          <w:rFonts w:ascii="Arial" w:hAnsi="Arial" w:cs="Arial"/>
          <w:sz w:val="20"/>
          <w:szCs w:val="20"/>
        </w:rPr>
        <w:t>L’Université Paris-Saclay est composée :</w:t>
      </w:r>
    </w:p>
    <w:p w14:paraId="6CE67361"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D’</w:t>
      </w:r>
      <w:r w:rsidRPr="0039584E">
        <w:rPr>
          <w:rFonts w:ascii="Arial" w:hAnsi="Arial" w:cs="Arial"/>
          <w:b/>
          <w:bCs/>
          <w:sz w:val="20"/>
          <w:szCs w:val="20"/>
        </w:rPr>
        <w:t xml:space="preserve">un périmètre dit « employeur » composé de 9 composantes universitaires </w:t>
      </w:r>
      <w:r w:rsidRPr="0039584E">
        <w:rPr>
          <w:rFonts w:ascii="Arial" w:hAnsi="Arial" w:cs="Arial"/>
          <w:sz w:val="20"/>
          <w:szCs w:val="20"/>
        </w:rPr>
        <w:t xml:space="preserve">de l’ex-Université Paris-Sud : </w:t>
      </w:r>
    </w:p>
    <w:p w14:paraId="5FE544FA"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 xml:space="preserve">5 facultés (sciences, médecine, pharmacie, droit-économie-management (DEM) et sciences du sport (anciennement STAPS), </w:t>
      </w:r>
    </w:p>
    <w:p w14:paraId="799404A8"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 xml:space="preserve">3 IUT (Cachan, Orsay et Sceaux), </w:t>
      </w:r>
    </w:p>
    <w:p w14:paraId="3E839911"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 xml:space="preserve">1 école d’ingénieurs Polytech </w:t>
      </w:r>
    </w:p>
    <w:p w14:paraId="5993FAB7"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proofErr w:type="gramStart"/>
      <w:r w:rsidRPr="0039584E">
        <w:rPr>
          <w:rFonts w:ascii="Arial" w:hAnsi="Arial" w:cs="Arial"/>
          <w:sz w:val="20"/>
          <w:szCs w:val="20"/>
        </w:rPr>
        <w:t>et</w:t>
      </w:r>
      <w:proofErr w:type="gramEnd"/>
      <w:r w:rsidRPr="0039584E">
        <w:rPr>
          <w:rFonts w:ascii="Arial" w:hAnsi="Arial" w:cs="Arial"/>
          <w:sz w:val="20"/>
          <w:szCs w:val="20"/>
        </w:rPr>
        <w:t xml:space="preserve"> les services centraux.</w:t>
      </w:r>
    </w:p>
    <w:p w14:paraId="1D061AA5"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 xml:space="preserve">De 4 établissements composantes, écoles gardant leur personnalité morale : AgroParisTech, Centrale </w:t>
      </w:r>
      <w:proofErr w:type="spellStart"/>
      <w:r w:rsidRPr="0039584E">
        <w:rPr>
          <w:rFonts w:ascii="Arial" w:hAnsi="Arial" w:cs="Arial"/>
          <w:sz w:val="20"/>
          <w:szCs w:val="20"/>
        </w:rPr>
        <w:t>Supelec</w:t>
      </w:r>
      <w:proofErr w:type="spellEnd"/>
      <w:r w:rsidRPr="0039584E">
        <w:rPr>
          <w:rFonts w:ascii="Arial" w:hAnsi="Arial" w:cs="Arial"/>
          <w:sz w:val="20"/>
          <w:szCs w:val="20"/>
        </w:rPr>
        <w:t xml:space="preserve">, ENS Paris-Saclay, Institut d’Optique </w:t>
      </w:r>
      <w:proofErr w:type="spellStart"/>
      <w:r w:rsidRPr="0039584E">
        <w:rPr>
          <w:rFonts w:ascii="Arial" w:hAnsi="Arial" w:cs="Arial"/>
          <w:sz w:val="20"/>
          <w:szCs w:val="20"/>
        </w:rPr>
        <w:t>Graduate</w:t>
      </w:r>
      <w:proofErr w:type="spellEnd"/>
      <w:r w:rsidRPr="0039584E">
        <w:rPr>
          <w:rFonts w:ascii="Arial" w:hAnsi="Arial" w:cs="Arial"/>
          <w:sz w:val="20"/>
          <w:szCs w:val="20"/>
        </w:rPr>
        <w:t xml:space="preserve"> </w:t>
      </w:r>
      <w:proofErr w:type="spellStart"/>
      <w:r w:rsidRPr="0039584E">
        <w:rPr>
          <w:rFonts w:ascii="Arial" w:hAnsi="Arial" w:cs="Arial"/>
          <w:sz w:val="20"/>
          <w:szCs w:val="20"/>
        </w:rPr>
        <w:t>School</w:t>
      </w:r>
      <w:proofErr w:type="spellEnd"/>
      <w:r w:rsidRPr="0039584E">
        <w:rPr>
          <w:rFonts w:ascii="Arial" w:hAnsi="Arial" w:cs="Arial"/>
          <w:sz w:val="20"/>
          <w:szCs w:val="20"/>
        </w:rPr>
        <w:t>,</w:t>
      </w:r>
    </w:p>
    <w:p w14:paraId="0E38EF75"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De l’IHES ayant le statut de Fondation reconnue d’utilité publique.</w:t>
      </w:r>
    </w:p>
    <w:p w14:paraId="394701DE" w14:textId="77777777"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L’Université Versailles Saint-Quentin (UVSQ) et l’Université Évry Val d’Essonne (UEVE) ont le statut de membres associés à l’Université Paris-Saclay</w:t>
      </w:r>
    </w:p>
    <w:p w14:paraId="741F7B7C" w14:textId="770F5A62" w:rsidR="00A455BA" w:rsidRPr="0039584E" w:rsidRDefault="00A455BA" w:rsidP="00041800">
      <w:pPr>
        <w:pStyle w:val="Paragraphedeliste"/>
        <w:numPr>
          <w:ilvl w:val="0"/>
          <w:numId w:val="28"/>
        </w:numPr>
        <w:spacing w:line="276" w:lineRule="auto"/>
        <w:jc w:val="both"/>
        <w:rPr>
          <w:rFonts w:ascii="Arial" w:hAnsi="Arial" w:cs="Arial"/>
          <w:sz w:val="20"/>
          <w:szCs w:val="20"/>
        </w:rPr>
      </w:pPr>
      <w:r w:rsidRPr="0039584E">
        <w:rPr>
          <w:rFonts w:ascii="Arial" w:hAnsi="Arial" w:cs="Arial"/>
          <w:sz w:val="20"/>
          <w:szCs w:val="20"/>
        </w:rPr>
        <w:t>Les 6 Organismes Nationaux de Recherche (ONR) majeurs : le CEA, le CNRS, l’INRAE, l’Inria, l’Inserm et l’</w:t>
      </w:r>
      <w:proofErr w:type="spellStart"/>
      <w:r w:rsidRPr="0039584E">
        <w:rPr>
          <w:rFonts w:ascii="Arial" w:hAnsi="Arial" w:cs="Arial"/>
          <w:sz w:val="20"/>
          <w:szCs w:val="20"/>
        </w:rPr>
        <w:t>Onera</w:t>
      </w:r>
      <w:proofErr w:type="spellEnd"/>
      <w:r w:rsidRPr="0039584E">
        <w:rPr>
          <w:rFonts w:ascii="Arial" w:hAnsi="Arial" w:cs="Arial"/>
          <w:sz w:val="20"/>
          <w:szCs w:val="20"/>
        </w:rPr>
        <w:t xml:space="preserve"> sont des partenaires privilégiés de l’Université Paris-Saclay. À ce titre, ils participent à la gouvernance de l’Université Paris-Saclay et contribuent pleinement à l’objectif de visibilité de la marque Université Paris-Saclay.</w:t>
      </w:r>
    </w:p>
    <w:p w14:paraId="230B5C43" w14:textId="05DF3728" w:rsidR="00A455BA" w:rsidRDefault="00A455BA" w:rsidP="00A455BA">
      <w:pPr>
        <w:spacing w:line="276" w:lineRule="auto"/>
        <w:jc w:val="both"/>
        <w:rPr>
          <w:rFonts w:ascii="Arial" w:hAnsi="Arial" w:cs="Arial"/>
          <w:sz w:val="20"/>
          <w:szCs w:val="20"/>
        </w:rPr>
      </w:pPr>
    </w:p>
    <w:p w14:paraId="2DF589B1" w14:textId="0EE837DB" w:rsidR="00763780" w:rsidRPr="00763780" w:rsidRDefault="0014076F" w:rsidP="00763780">
      <w:pPr>
        <w:spacing w:line="276" w:lineRule="auto"/>
        <w:jc w:val="both"/>
        <w:rPr>
          <w:rFonts w:ascii="Arial" w:hAnsi="Arial" w:cs="Arial"/>
          <w:sz w:val="20"/>
          <w:szCs w:val="20"/>
        </w:rPr>
      </w:pPr>
      <w:r>
        <w:rPr>
          <w:rFonts w:ascii="Arial" w:hAnsi="Arial" w:cs="Arial"/>
          <w:sz w:val="20"/>
          <w:szCs w:val="20"/>
        </w:rPr>
        <w:t>Les plans de repérage des entités sont transmis en annexe.</w:t>
      </w:r>
    </w:p>
    <w:p w14:paraId="519B1337" w14:textId="4C744AED" w:rsidR="00141E87" w:rsidRPr="00056881" w:rsidRDefault="0040449D" w:rsidP="00141E87">
      <w:pPr>
        <w:pStyle w:val="Titre1article"/>
        <w:tabs>
          <w:tab w:val="clear" w:pos="0"/>
          <w:tab w:val="num" w:pos="-1069"/>
        </w:tabs>
        <w:spacing w:line="276" w:lineRule="auto"/>
      </w:pPr>
      <w:bookmarkStart w:id="13" w:name="_Hlk193099978"/>
      <w:r>
        <w:t>INSCRIPTION DE L’ACCORD CADRE DANS LA STRATEGIE DE L’UNIVERSITE</w:t>
      </w:r>
    </w:p>
    <w:p w14:paraId="7B26120D" w14:textId="31B9910C" w:rsidR="00EB1633" w:rsidRPr="002E5731" w:rsidRDefault="0040449D" w:rsidP="00EB1633">
      <w:pPr>
        <w:pStyle w:val="Titre2"/>
        <w:tabs>
          <w:tab w:val="clear" w:pos="0"/>
          <w:tab w:val="num" w:pos="-1069"/>
        </w:tabs>
        <w:spacing w:line="276" w:lineRule="auto"/>
        <w:jc w:val="both"/>
        <w:rPr>
          <w:rFonts w:ascii="Arial" w:hAnsi="Arial" w:cs="Arial"/>
          <w:sz w:val="20"/>
          <w:szCs w:val="20"/>
        </w:rPr>
      </w:pPr>
      <w:bookmarkStart w:id="14" w:name="_Toc151995097"/>
      <w:bookmarkStart w:id="15" w:name="_Toc152161174"/>
      <w:bookmarkStart w:id="16" w:name="_Toc151995098"/>
      <w:bookmarkStart w:id="17" w:name="_Toc152161175"/>
      <w:bookmarkStart w:id="18" w:name="_Toc151995099"/>
      <w:bookmarkStart w:id="19" w:name="_Toc152161176"/>
      <w:bookmarkStart w:id="20" w:name="_Toc151995100"/>
      <w:bookmarkStart w:id="21" w:name="_Toc152161177"/>
      <w:bookmarkStart w:id="22" w:name="_Toc151995101"/>
      <w:bookmarkStart w:id="23" w:name="_Toc152161178"/>
      <w:bookmarkStart w:id="24" w:name="_Toc151995102"/>
      <w:bookmarkStart w:id="25" w:name="_Toc152161179"/>
      <w:bookmarkEnd w:id="13"/>
      <w:bookmarkEnd w:id="14"/>
      <w:bookmarkEnd w:id="15"/>
      <w:bookmarkEnd w:id="16"/>
      <w:bookmarkEnd w:id="17"/>
      <w:bookmarkEnd w:id="18"/>
      <w:bookmarkEnd w:id="19"/>
      <w:bookmarkEnd w:id="20"/>
      <w:bookmarkEnd w:id="21"/>
      <w:bookmarkEnd w:id="22"/>
      <w:bookmarkEnd w:id="23"/>
      <w:bookmarkEnd w:id="24"/>
      <w:bookmarkEnd w:id="25"/>
      <w:r>
        <w:rPr>
          <w:rFonts w:ascii="Arial" w:hAnsi="Arial" w:cs="Arial"/>
          <w:sz w:val="20"/>
          <w:szCs w:val="20"/>
        </w:rPr>
        <w:t xml:space="preserve">Objectifs généraux </w:t>
      </w:r>
    </w:p>
    <w:p w14:paraId="1E0E9D69" w14:textId="427CE1E9" w:rsidR="00D0557C" w:rsidRDefault="00D0557C" w:rsidP="00D0557C">
      <w:pPr>
        <w:pStyle w:val="Titre3"/>
        <w:ind w:left="0" w:hanging="567"/>
        <w:rPr>
          <w:rFonts w:ascii="Arial" w:hAnsi="Arial" w:cs="Arial"/>
          <w:i w:val="0"/>
          <w:iCs/>
          <w:sz w:val="20"/>
          <w:szCs w:val="20"/>
        </w:rPr>
      </w:pPr>
      <w:r>
        <w:rPr>
          <w:rFonts w:ascii="Arial" w:hAnsi="Arial" w:cs="Arial"/>
          <w:i w:val="0"/>
          <w:iCs/>
          <w:sz w:val="20"/>
          <w:szCs w:val="20"/>
        </w:rPr>
        <w:t xml:space="preserve">Les grands objectifs de l’Université </w:t>
      </w:r>
    </w:p>
    <w:p w14:paraId="44A3745E" w14:textId="638BFB6F"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En tant qu’université de rang mondial, l’Université Paris Saclay cherche à répondre à plusieurs objectifs stratégiques :</w:t>
      </w:r>
    </w:p>
    <w:p w14:paraId="0DB24224" w14:textId="27904AF8" w:rsidR="00FA388C" w:rsidRPr="0040449D" w:rsidRDefault="00FA388C" w:rsidP="00041800">
      <w:pPr>
        <w:pStyle w:val="Paragraphedeliste"/>
        <w:numPr>
          <w:ilvl w:val="0"/>
          <w:numId w:val="5"/>
        </w:numPr>
        <w:spacing w:before="120" w:line="276" w:lineRule="auto"/>
        <w:jc w:val="both"/>
        <w:rPr>
          <w:rFonts w:ascii="Arial" w:hAnsi="Arial" w:cs="Arial"/>
          <w:iCs/>
          <w:sz w:val="20"/>
          <w:szCs w:val="20"/>
        </w:rPr>
      </w:pPr>
      <w:r w:rsidRPr="0040449D">
        <w:rPr>
          <w:rFonts w:ascii="Arial" w:hAnsi="Arial" w:cs="Arial"/>
          <w:b/>
          <w:bCs/>
          <w:iCs/>
          <w:sz w:val="20"/>
          <w:szCs w:val="20"/>
        </w:rPr>
        <w:t>Œuvrer au déploiement d’une</w:t>
      </w:r>
      <w:r w:rsidRPr="0040449D">
        <w:rPr>
          <w:rFonts w:ascii="Arial" w:hAnsi="Arial" w:cs="Arial"/>
          <w:iCs/>
          <w:sz w:val="20"/>
          <w:szCs w:val="20"/>
        </w:rPr>
        <w:t xml:space="preserve"> </w:t>
      </w:r>
      <w:r w:rsidRPr="0040449D">
        <w:rPr>
          <w:rFonts w:ascii="Arial" w:hAnsi="Arial" w:cs="Arial"/>
          <w:b/>
          <w:bCs/>
          <w:iCs/>
          <w:sz w:val="20"/>
          <w:szCs w:val="20"/>
        </w:rPr>
        <w:t>offre de formation de qualité</w:t>
      </w:r>
      <w:r w:rsidRPr="0040449D">
        <w:rPr>
          <w:rFonts w:ascii="Arial" w:hAnsi="Arial" w:cs="Arial"/>
          <w:iCs/>
          <w:sz w:val="20"/>
          <w:szCs w:val="20"/>
        </w:rPr>
        <w:t xml:space="preserve"> sur un large spectre de disciplines, au service de la réussite étudiante et de l'insertion professionnelle est également un enjeu stratégique pour l’Université. L’Université Paris Saclay a confirmé en 2023 sa position d’université de rang mondial. En effet, pour la quatrième année consécutive depuis </w:t>
      </w:r>
      <w:r w:rsidRPr="0040449D">
        <w:rPr>
          <w:rFonts w:ascii="Arial" w:hAnsi="Arial" w:cs="Arial"/>
          <w:iCs/>
          <w:sz w:val="20"/>
          <w:szCs w:val="20"/>
        </w:rPr>
        <w:lastRenderedPageBreak/>
        <w:t xml:space="preserve">sa création en 2020, l’Université Paris-Saclay est classée dans le top 20 du classement ARWU, quinzième mondiale et première en Europe continentale.  </w:t>
      </w:r>
    </w:p>
    <w:p w14:paraId="0AA01A33" w14:textId="77777777" w:rsidR="00FA388C" w:rsidRPr="00FA388C" w:rsidRDefault="00FA388C" w:rsidP="0040449D">
      <w:pPr>
        <w:spacing w:before="120" w:line="276" w:lineRule="auto"/>
        <w:ind w:left="708"/>
        <w:jc w:val="both"/>
        <w:rPr>
          <w:rFonts w:ascii="Arial" w:hAnsi="Arial" w:cs="Arial"/>
          <w:iCs/>
          <w:sz w:val="20"/>
          <w:szCs w:val="20"/>
        </w:rPr>
      </w:pPr>
      <w:r w:rsidRPr="00FA388C">
        <w:rPr>
          <w:rFonts w:ascii="Arial" w:hAnsi="Arial" w:cs="Arial"/>
          <w:iCs/>
          <w:sz w:val="20"/>
          <w:szCs w:val="20"/>
        </w:rPr>
        <w:t>Bien que le classement de Shanghai concentre ses critères sur la qualité et la notoriété de la recherche, ce classement est également témoin de la qualité et du cadre de l’enseignement dispensé, l’Université représentant en effet un acteur essentiel de la formation initiale.</w:t>
      </w:r>
    </w:p>
    <w:p w14:paraId="69362536" w14:textId="5E9906D4" w:rsidR="00FA388C" w:rsidRPr="00FA388C" w:rsidRDefault="00FA388C" w:rsidP="00041800">
      <w:pPr>
        <w:pStyle w:val="Paragraphedeliste"/>
        <w:numPr>
          <w:ilvl w:val="0"/>
          <w:numId w:val="4"/>
        </w:numPr>
        <w:spacing w:before="120" w:line="276" w:lineRule="auto"/>
        <w:jc w:val="both"/>
        <w:rPr>
          <w:rFonts w:ascii="Arial" w:hAnsi="Arial" w:cs="Arial"/>
          <w:iCs/>
          <w:sz w:val="20"/>
          <w:szCs w:val="20"/>
        </w:rPr>
      </w:pPr>
      <w:r w:rsidRPr="0040449D">
        <w:rPr>
          <w:rFonts w:ascii="Arial" w:hAnsi="Arial" w:cs="Arial"/>
          <w:b/>
          <w:bCs/>
          <w:iCs/>
          <w:sz w:val="20"/>
          <w:szCs w:val="20"/>
        </w:rPr>
        <w:t>Mettre en valeur ses laboratoires,</w:t>
      </w:r>
      <w:r w:rsidRPr="00FA388C">
        <w:rPr>
          <w:rFonts w:ascii="Arial" w:hAnsi="Arial" w:cs="Arial"/>
          <w:iCs/>
          <w:sz w:val="20"/>
          <w:szCs w:val="20"/>
        </w:rPr>
        <w:t xml:space="preserve"> promouvoir et valoriser l’activité de recherche :  forte de plus de 200 laboratoires, l’Université Paris Saclay compte pour 13% de la recherche française. Dans son document « Stratégie scientifique de l’Université Paris-Saclay », l’Université détaille sa stratégie à l’égard de la recherche :</w:t>
      </w:r>
    </w:p>
    <w:p w14:paraId="5D3E7D0E" w14:textId="525AD898"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Développer une interface entre les laboratoires et le monde économique</w:t>
      </w:r>
    </w:p>
    <w:p w14:paraId="41506644" w14:textId="26920504"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Favoriser des enseignements basés sur la recherche comme fondement des pratiques académiques</w:t>
      </w:r>
    </w:p>
    <w:p w14:paraId="447012EC" w14:textId="3C72BBCE"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Soutenir un changement de paradigme : étudiants, chercheurs, personnels en tant qu’innovateurs</w:t>
      </w:r>
    </w:p>
    <w:p w14:paraId="1A92C7DF" w14:textId="25E41060"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Dynamiser la création de startup</w:t>
      </w:r>
    </w:p>
    <w:p w14:paraId="0C0A6B37" w14:textId="0D010F3C"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Promouvoir et encourager la publication en accès libre</w:t>
      </w:r>
    </w:p>
    <w:p w14:paraId="06BFCF1C" w14:textId="5C03621F"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Optimiser les données scientifiques et les infrastructures</w:t>
      </w:r>
    </w:p>
    <w:p w14:paraId="07792C82" w14:textId="77777777" w:rsidR="00FA388C" w:rsidRPr="00FA388C" w:rsidRDefault="00FA388C" w:rsidP="00FA388C">
      <w:pPr>
        <w:spacing w:before="120" w:line="276" w:lineRule="auto"/>
        <w:ind w:left="708"/>
        <w:jc w:val="both"/>
        <w:rPr>
          <w:rFonts w:ascii="Arial" w:hAnsi="Arial" w:cs="Arial"/>
          <w:iCs/>
          <w:sz w:val="20"/>
          <w:szCs w:val="20"/>
        </w:rPr>
      </w:pPr>
      <w:r w:rsidRPr="00FA388C">
        <w:rPr>
          <w:rFonts w:ascii="Arial" w:hAnsi="Arial" w:cs="Arial"/>
          <w:iCs/>
          <w:sz w:val="20"/>
          <w:szCs w:val="20"/>
        </w:rPr>
        <w:t>La mise en valeur de la recherche se traduit également par des actions participatives, dans le but de rapprocher la science des citoyens, et de renforcer le rayonnement de l’Université auprès des habitants des communes sur lesquelles elle est implantée.</w:t>
      </w:r>
    </w:p>
    <w:p w14:paraId="63D9123C" w14:textId="309B1E7D" w:rsidR="00FA388C" w:rsidRDefault="00FA388C" w:rsidP="00041800">
      <w:pPr>
        <w:pStyle w:val="Paragraphedeliste"/>
        <w:numPr>
          <w:ilvl w:val="0"/>
          <w:numId w:val="4"/>
        </w:numPr>
        <w:spacing w:before="120" w:line="276" w:lineRule="auto"/>
        <w:jc w:val="both"/>
        <w:rPr>
          <w:rFonts w:ascii="Arial" w:hAnsi="Arial" w:cs="Arial"/>
          <w:iCs/>
          <w:sz w:val="20"/>
          <w:szCs w:val="20"/>
        </w:rPr>
      </w:pPr>
      <w:r w:rsidRPr="0040449D">
        <w:rPr>
          <w:rFonts w:ascii="Arial" w:hAnsi="Arial" w:cs="Arial"/>
          <w:b/>
          <w:bCs/>
          <w:iCs/>
          <w:sz w:val="20"/>
          <w:szCs w:val="20"/>
        </w:rPr>
        <w:t>Améliorer la qualité d’accueil pour les étudiants, enseignants, chercheurs et personnels.</w:t>
      </w:r>
      <w:r w:rsidRPr="00FA388C">
        <w:rPr>
          <w:rFonts w:ascii="Arial" w:hAnsi="Arial" w:cs="Arial"/>
          <w:iCs/>
          <w:sz w:val="20"/>
          <w:szCs w:val="20"/>
        </w:rPr>
        <w:t xml:space="preserve"> Cet objectif se décline à travers les services d’accompagnement des différents publics dans les domaines de la vie étudiante, des enseignements, de la formation, de la recherche... </w:t>
      </w:r>
      <w:proofErr w:type="spellStart"/>
      <w:r w:rsidRPr="00FA388C">
        <w:rPr>
          <w:rFonts w:ascii="Arial" w:hAnsi="Arial" w:cs="Arial"/>
          <w:iCs/>
          <w:sz w:val="20"/>
          <w:szCs w:val="20"/>
        </w:rPr>
        <w:t>etc</w:t>
      </w:r>
      <w:proofErr w:type="spellEnd"/>
      <w:r w:rsidRPr="00FA388C">
        <w:rPr>
          <w:rFonts w:ascii="Arial" w:hAnsi="Arial" w:cs="Arial"/>
          <w:iCs/>
          <w:sz w:val="20"/>
          <w:szCs w:val="20"/>
        </w:rPr>
        <w:t xml:space="preserve"> mais également par la qualité de son patrimoine bâtimentaire qui devra répondre à cet objectif. L’Université souhaite promouvoir les nouvelles approches pédagogiques axées sur le parcours de l’étudiant. </w:t>
      </w:r>
    </w:p>
    <w:p w14:paraId="49ED5D21" w14:textId="77777777" w:rsidR="0040449D" w:rsidRPr="00FA388C" w:rsidRDefault="0040449D" w:rsidP="0040449D">
      <w:pPr>
        <w:pStyle w:val="Paragraphedeliste"/>
        <w:spacing w:before="120" w:line="276" w:lineRule="auto"/>
        <w:jc w:val="both"/>
        <w:rPr>
          <w:rFonts w:ascii="Arial" w:hAnsi="Arial" w:cs="Arial"/>
          <w:iCs/>
          <w:sz w:val="20"/>
          <w:szCs w:val="20"/>
        </w:rPr>
      </w:pPr>
    </w:p>
    <w:p w14:paraId="475B2901" w14:textId="5D34212D" w:rsidR="00FA388C" w:rsidRPr="00FA388C" w:rsidRDefault="00FA388C" w:rsidP="00041800">
      <w:pPr>
        <w:pStyle w:val="Paragraphedeliste"/>
        <w:numPr>
          <w:ilvl w:val="0"/>
          <w:numId w:val="4"/>
        </w:numPr>
        <w:spacing w:before="120" w:line="276" w:lineRule="auto"/>
        <w:jc w:val="both"/>
        <w:rPr>
          <w:rFonts w:ascii="Arial" w:hAnsi="Arial" w:cs="Arial"/>
          <w:iCs/>
          <w:sz w:val="20"/>
          <w:szCs w:val="20"/>
        </w:rPr>
      </w:pPr>
      <w:r w:rsidRPr="0040449D">
        <w:rPr>
          <w:rFonts w:ascii="Arial" w:hAnsi="Arial" w:cs="Arial"/>
          <w:b/>
          <w:bCs/>
          <w:iCs/>
          <w:sz w:val="20"/>
          <w:szCs w:val="20"/>
        </w:rPr>
        <w:t>Améliorer sa visibilité à travers un patrimoine cohérent sur l’ensemble de son périmètre,</w:t>
      </w:r>
      <w:r w:rsidRPr="00FA388C">
        <w:rPr>
          <w:rFonts w:ascii="Arial" w:hAnsi="Arial" w:cs="Arial"/>
          <w:iCs/>
          <w:sz w:val="20"/>
          <w:szCs w:val="20"/>
        </w:rPr>
        <w:t xml:space="preserve"> notamment entre les installations récentes sur le plateau et le site historique de la vallée d’Orsay. Pour ce site en particulier, le transfert de formations (notamment Masters) et de laboratoires vers le plateau de Saclay, a libéré des surfaces existantes au sein du Campus dans la vallée d’Orsay dont les affectations sont à requestionner. L’équilibre de l’offre d’accueil est à rétablir entre les bâtiments et aménagements récents sur le plateau, et le patrimoine historique vieillissant en cœur de vallée d’Orsay afin de créer un seul campus unifié.</w:t>
      </w:r>
    </w:p>
    <w:p w14:paraId="0F40F0E5" w14:textId="1D81FD4F" w:rsidR="00FA388C" w:rsidRPr="00FA388C" w:rsidRDefault="00FA388C" w:rsidP="00D0557C">
      <w:pPr>
        <w:spacing w:before="120" w:line="276" w:lineRule="auto"/>
        <w:ind w:firstLine="708"/>
        <w:jc w:val="both"/>
        <w:rPr>
          <w:rFonts w:ascii="Arial" w:hAnsi="Arial" w:cs="Arial"/>
          <w:iCs/>
          <w:sz w:val="20"/>
          <w:szCs w:val="20"/>
        </w:rPr>
      </w:pPr>
      <w:r w:rsidRPr="00FA388C">
        <w:rPr>
          <w:rFonts w:ascii="Arial" w:hAnsi="Arial" w:cs="Arial"/>
          <w:iCs/>
          <w:sz w:val="20"/>
          <w:szCs w:val="20"/>
        </w:rPr>
        <w:t>Ce</w:t>
      </w:r>
      <w:r w:rsidR="00D0557C">
        <w:rPr>
          <w:rFonts w:ascii="Arial" w:hAnsi="Arial" w:cs="Arial"/>
          <w:iCs/>
          <w:sz w:val="20"/>
          <w:szCs w:val="20"/>
        </w:rPr>
        <w:t>t</w:t>
      </w:r>
      <w:r w:rsidRPr="00FA388C">
        <w:rPr>
          <w:rFonts w:ascii="Arial" w:hAnsi="Arial" w:cs="Arial"/>
          <w:iCs/>
          <w:sz w:val="20"/>
          <w:szCs w:val="20"/>
        </w:rPr>
        <w:t xml:space="preserve"> objectif devr</w:t>
      </w:r>
      <w:r w:rsidR="00D0557C">
        <w:rPr>
          <w:rFonts w:ascii="Arial" w:hAnsi="Arial" w:cs="Arial"/>
          <w:iCs/>
          <w:sz w:val="20"/>
          <w:szCs w:val="20"/>
        </w:rPr>
        <w:t>a</w:t>
      </w:r>
      <w:r w:rsidRPr="00FA388C">
        <w:rPr>
          <w:rFonts w:ascii="Arial" w:hAnsi="Arial" w:cs="Arial"/>
          <w:iCs/>
          <w:sz w:val="20"/>
          <w:szCs w:val="20"/>
        </w:rPr>
        <w:t xml:space="preserve"> être obtenu</w:t>
      </w:r>
      <w:r w:rsidR="0040449D">
        <w:rPr>
          <w:rFonts w:ascii="Arial" w:hAnsi="Arial" w:cs="Arial"/>
          <w:iCs/>
          <w:sz w:val="20"/>
          <w:szCs w:val="20"/>
        </w:rPr>
        <w:t>s</w:t>
      </w:r>
      <w:r w:rsidRPr="00FA388C">
        <w:rPr>
          <w:rFonts w:ascii="Arial" w:hAnsi="Arial" w:cs="Arial"/>
          <w:iCs/>
          <w:sz w:val="20"/>
          <w:szCs w:val="20"/>
        </w:rPr>
        <w:t xml:space="preserve"> par le biais de :</w:t>
      </w:r>
    </w:p>
    <w:p w14:paraId="49663963" w14:textId="5D0C6D36"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la mise en valeur de la qualité patrimoniale des sites tout en constituant des pôles de vie basés sur la complémentarité entre les différents programmes immobiliers nécessaires.</w:t>
      </w:r>
    </w:p>
    <w:p w14:paraId="71B46DA5" w14:textId="1E5DFDC9"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Le désenclavement des sites en prenant à la fois appui sur le réseau de transport en commun et sur une amélioration de l’accessibilité des sites par une rationalisation du système de voiries principales.</w:t>
      </w:r>
    </w:p>
    <w:p w14:paraId="31DF3540" w14:textId="57B5F789"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La mise en valeurs des espaces extérieurs aménagés et paysagers, l’aménagement de grands espaces emblématiques afin de favoriser le développement progressif des modes de déplacements alternatifs à la voiture et la reconquête des grands espaces publics par l’ensemble des usagers des domaines universitaires au profit de nouvelles pratiques et de nouveaux services participant à l’attractivité de l’Université.</w:t>
      </w:r>
    </w:p>
    <w:p w14:paraId="5B0A97B7" w14:textId="77777777" w:rsidR="00FA388C" w:rsidRPr="00FA388C" w:rsidRDefault="00FA388C" w:rsidP="00FA388C">
      <w:pPr>
        <w:spacing w:before="120" w:line="276" w:lineRule="auto"/>
        <w:jc w:val="both"/>
        <w:rPr>
          <w:rFonts w:ascii="Arial" w:hAnsi="Arial" w:cs="Arial"/>
          <w:iCs/>
          <w:sz w:val="20"/>
          <w:szCs w:val="20"/>
        </w:rPr>
      </w:pPr>
    </w:p>
    <w:p w14:paraId="406B1B8D" w14:textId="768B020A" w:rsidR="00FA388C" w:rsidRPr="00FA388C" w:rsidRDefault="00FA388C" w:rsidP="00041800">
      <w:pPr>
        <w:pStyle w:val="Paragraphedeliste"/>
        <w:numPr>
          <w:ilvl w:val="0"/>
          <w:numId w:val="4"/>
        </w:numPr>
        <w:spacing w:before="120" w:line="276" w:lineRule="auto"/>
        <w:jc w:val="both"/>
        <w:rPr>
          <w:rFonts w:ascii="Arial" w:hAnsi="Arial" w:cs="Arial"/>
          <w:iCs/>
          <w:sz w:val="20"/>
          <w:szCs w:val="20"/>
        </w:rPr>
      </w:pPr>
      <w:r w:rsidRPr="00D0557C">
        <w:rPr>
          <w:rFonts w:ascii="Arial" w:hAnsi="Arial" w:cs="Arial"/>
          <w:b/>
          <w:bCs/>
          <w:iCs/>
          <w:sz w:val="20"/>
          <w:szCs w:val="20"/>
        </w:rPr>
        <w:t>Assurer la pérennité de son patrimoine bâti et améliorer ses performances énergétiques,</w:t>
      </w:r>
      <w:r w:rsidRPr="00FA388C">
        <w:rPr>
          <w:rFonts w:ascii="Arial" w:hAnsi="Arial" w:cs="Arial"/>
          <w:iCs/>
          <w:sz w:val="20"/>
          <w:szCs w:val="20"/>
        </w:rPr>
        <w:t xml:space="preserve"> ce qui permet de limiter l’impact des énergies sur les coûts de fonctionnement. Sur le long terme, l’exploitation et la maintenance du patrimoine universitaire deviennent primordiales car elles représentent un risque majeur aux plans financier, réglementaire et technique. Elles engagent la soutenabilité économique des coûts engendrés par le patrimoine pour les établissements, conjuguées aux incertitudes sur les financements à moyen termes (dotations budgétaires, crédits fléchés, CPER, subventions, etc.) et à la méconnaissance de financements complémentaires potentiels (Collectivités territoriales, FEDER, ADEME…). Cependant, les trois-quarts de ces coûts sont directement proportionnels aux mètres carrés. Sachant que l’occupation de certains locaux est faible, la rationalisation conjuguée à l’optimisation de l’occupation des surfaces représente un levier majeur. Une réflexion globale doit alors être menée pour que le patrimoine soit le plus efficient possible au regard de ses caractéristiques, atouts et contraintes, effectifs et taux d’occupation.</w:t>
      </w:r>
    </w:p>
    <w:p w14:paraId="680CC26B" w14:textId="77777777" w:rsidR="00FA388C" w:rsidRPr="00FA388C" w:rsidRDefault="00FA388C" w:rsidP="00FA388C">
      <w:pPr>
        <w:spacing w:before="120" w:line="276" w:lineRule="auto"/>
        <w:jc w:val="both"/>
        <w:rPr>
          <w:rFonts w:ascii="Arial" w:hAnsi="Arial" w:cs="Arial"/>
          <w:iCs/>
          <w:sz w:val="20"/>
          <w:szCs w:val="20"/>
        </w:rPr>
      </w:pPr>
    </w:p>
    <w:p w14:paraId="4C8B66AD" w14:textId="0DAE1804" w:rsidR="00FA388C" w:rsidRPr="00FA388C" w:rsidRDefault="00FA388C" w:rsidP="00041800">
      <w:pPr>
        <w:pStyle w:val="Paragraphedeliste"/>
        <w:numPr>
          <w:ilvl w:val="0"/>
          <w:numId w:val="4"/>
        </w:numPr>
        <w:spacing w:before="120" w:line="276" w:lineRule="auto"/>
        <w:jc w:val="both"/>
        <w:rPr>
          <w:rFonts w:ascii="Arial" w:hAnsi="Arial" w:cs="Arial"/>
          <w:iCs/>
          <w:sz w:val="20"/>
          <w:szCs w:val="20"/>
        </w:rPr>
      </w:pPr>
      <w:r w:rsidRPr="00D0557C">
        <w:rPr>
          <w:rFonts w:ascii="Arial" w:hAnsi="Arial" w:cs="Arial"/>
          <w:b/>
          <w:bCs/>
          <w:iCs/>
          <w:sz w:val="20"/>
          <w:szCs w:val="20"/>
        </w:rPr>
        <w:t>Répondre aux enjeux environnementaux dans le cadre de son engagement en faveur d’un développement plus durable</w:t>
      </w:r>
      <w:r w:rsidRPr="00FA388C">
        <w:rPr>
          <w:rFonts w:ascii="Arial" w:hAnsi="Arial" w:cs="Arial"/>
          <w:iCs/>
          <w:sz w:val="20"/>
          <w:szCs w:val="20"/>
        </w:rPr>
        <w:t>, détaillé dans la Charte du Développement soutenable, adoptée en 2021, et détaillant :</w:t>
      </w:r>
    </w:p>
    <w:p w14:paraId="1AEED297" w14:textId="00F5AD1F" w:rsidR="00FA388C" w:rsidRP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sidR="00D0557C">
        <w:rPr>
          <w:rFonts w:ascii="Arial" w:hAnsi="Arial" w:cs="Arial"/>
          <w:iCs/>
          <w:sz w:val="20"/>
          <w:szCs w:val="20"/>
        </w:rPr>
        <w:t xml:space="preserve"> </w:t>
      </w:r>
      <w:r w:rsidRPr="00FA388C">
        <w:rPr>
          <w:rFonts w:ascii="Arial" w:hAnsi="Arial" w:cs="Arial"/>
          <w:iCs/>
          <w:sz w:val="20"/>
          <w:szCs w:val="20"/>
        </w:rPr>
        <w:t>La prise en compte à des fins de minimisation des impacts sur le climat, l’environnement et la biodiversité dans les décisions stratégiques de l’Université ;</w:t>
      </w:r>
    </w:p>
    <w:p w14:paraId="5711B93B" w14:textId="6BFF38C7" w:rsidR="00FA388C" w:rsidRDefault="00FA388C" w:rsidP="00FA388C">
      <w:pPr>
        <w:spacing w:before="120" w:line="276" w:lineRule="auto"/>
        <w:ind w:left="1416"/>
        <w:jc w:val="both"/>
        <w:rPr>
          <w:rFonts w:ascii="Arial" w:hAnsi="Arial" w:cs="Arial"/>
          <w:iCs/>
          <w:sz w:val="20"/>
          <w:szCs w:val="20"/>
        </w:rPr>
      </w:pPr>
      <w:r w:rsidRPr="00FA388C">
        <w:rPr>
          <w:rFonts w:ascii="Arial" w:hAnsi="Arial" w:cs="Arial"/>
          <w:iCs/>
          <w:sz w:val="20"/>
          <w:szCs w:val="20"/>
        </w:rPr>
        <w:t>•</w:t>
      </w:r>
      <w:r>
        <w:rPr>
          <w:rFonts w:ascii="Arial" w:hAnsi="Arial" w:cs="Arial"/>
          <w:iCs/>
          <w:sz w:val="20"/>
          <w:szCs w:val="20"/>
        </w:rPr>
        <w:t xml:space="preserve"> </w:t>
      </w:r>
      <w:r w:rsidRPr="00FA388C">
        <w:rPr>
          <w:rFonts w:ascii="Arial" w:hAnsi="Arial" w:cs="Arial"/>
          <w:iCs/>
          <w:sz w:val="20"/>
          <w:szCs w:val="20"/>
        </w:rPr>
        <w:t>La réduction de l’empreinte écologique des activités de l’Université, développée dans le cadre du plan de sobriété.</w:t>
      </w:r>
    </w:p>
    <w:p w14:paraId="3932252D" w14:textId="77777777" w:rsidR="00D0557C" w:rsidRPr="00FA388C" w:rsidRDefault="00D0557C" w:rsidP="00FA388C">
      <w:pPr>
        <w:spacing w:before="120" w:line="276" w:lineRule="auto"/>
        <w:ind w:left="1416"/>
        <w:jc w:val="both"/>
        <w:rPr>
          <w:rFonts w:ascii="Arial" w:hAnsi="Arial" w:cs="Arial"/>
          <w:iCs/>
          <w:sz w:val="20"/>
          <w:szCs w:val="20"/>
        </w:rPr>
      </w:pPr>
    </w:p>
    <w:p w14:paraId="113E0360" w14:textId="3E0BF0EA" w:rsidR="00D0557C" w:rsidRDefault="00D0557C" w:rsidP="00D0557C">
      <w:pPr>
        <w:pStyle w:val="Titre3"/>
        <w:ind w:left="0" w:hanging="567"/>
        <w:rPr>
          <w:rFonts w:ascii="Arial" w:hAnsi="Arial" w:cs="Arial"/>
          <w:i w:val="0"/>
          <w:iCs/>
          <w:sz w:val="20"/>
          <w:szCs w:val="20"/>
        </w:rPr>
      </w:pPr>
      <w:r>
        <w:rPr>
          <w:rFonts w:ascii="Arial" w:hAnsi="Arial" w:cs="Arial"/>
          <w:i w:val="0"/>
          <w:iCs/>
          <w:sz w:val="20"/>
          <w:szCs w:val="20"/>
        </w:rPr>
        <w:t>L</w:t>
      </w:r>
      <w:r w:rsidR="00456B5D">
        <w:rPr>
          <w:rFonts w:ascii="Arial" w:hAnsi="Arial" w:cs="Arial"/>
          <w:i w:val="0"/>
          <w:iCs/>
          <w:sz w:val="20"/>
          <w:szCs w:val="20"/>
        </w:rPr>
        <w:t>’inscription de la stratégie de l’</w:t>
      </w:r>
      <w:proofErr w:type="spellStart"/>
      <w:r w:rsidR="00456B5D">
        <w:rPr>
          <w:rFonts w:ascii="Arial" w:hAnsi="Arial" w:cs="Arial"/>
          <w:i w:val="0"/>
          <w:iCs/>
          <w:sz w:val="20"/>
          <w:szCs w:val="20"/>
        </w:rPr>
        <w:t>Universite</w:t>
      </w:r>
      <w:proofErr w:type="spellEnd"/>
      <w:r w:rsidR="00456B5D">
        <w:rPr>
          <w:rFonts w:ascii="Arial" w:hAnsi="Arial" w:cs="Arial"/>
          <w:i w:val="0"/>
          <w:iCs/>
          <w:sz w:val="20"/>
          <w:szCs w:val="20"/>
        </w:rPr>
        <w:t xml:space="preserve"> avec l</w:t>
      </w:r>
      <w:r>
        <w:rPr>
          <w:rFonts w:ascii="Arial" w:hAnsi="Arial" w:cs="Arial"/>
          <w:i w:val="0"/>
          <w:iCs/>
          <w:sz w:val="20"/>
          <w:szCs w:val="20"/>
        </w:rPr>
        <w:t>e contexte règlementaire</w:t>
      </w:r>
    </w:p>
    <w:p w14:paraId="694B340D" w14:textId="5517C21C"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Ces enjeux issus des orientations stratégiques de l’Université sont complétés par des enjeux issus du contexte réglementaire, local et national dans lequel s’inscrit l’Université.</w:t>
      </w:r>
    </w:p>
    <w:p w14:paraId="231FC91C" w14:textId="14381FFA"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 xml:space="preserve">Les réflexions et opérations sur le patrimoine bâti s’inscrivent dans le contexte réglementaire </w:t>
      </w:r>
      <w:proofErr w:type="gramStart"/>
      <w:r w:rsidRPr="00FA388C">
        <w:rPr>
          <w:rFonts w:ascii="Arial" w:hAnsi="Arial" w:cs="Arial"/>
          <w:iCs/>
          <w:sz w:val="20"/>
          <w:szCs w:val="20"/>
        </w:rPr>
        <w:t>suivant:</w:t>
      </w:r>
      <w:proofErr w:type="gramEnd"/>
    </w:p>
    <w:p w14:paraId="15730600" w14:textId="69517231" w:rsidR="00FA388C" w:rsidRPr="00456B5D" w:rsidRDefault="00FA388C" w:rsidP="00041800">
      <w:pPr>
        <w:pStyle w:val="Paragraphedeliste"/>
        <w:numPr>
          <w:ilvl w:val="1"/>
          <w:numId w:val="6"/>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Obligation de </w:t>
      </w:r>
      <w:r w:rsidRPr="00456B5D">
        <w:rPr>
          <w:rFonts w:ascii="Arial" w:hAnsi="Arial" w:cs="Arial"/>
          <w:b/>
          <w:bCs/>
          <w:iCs/>
          <w:sz w:val="20"/>
          <w:szCs w:val="20"/>
        </w:rPr>
        <w:t>réduction des consommations énergétiques et des émissions de gaz à effet de serres des bâtiments tertiaires</w:t>
      </w:r>
      <w:r w:rsidRPr="00456B5D">
        <w:rPr>
          <w:rFonts w:ascii="Arial" w:hAnsi="Arial" w:cs="Arial"/>
          <w:iCs/>
          <w:sz w:val="20"/>
          <w:szCs w:val="20"/>
        </w:rPr>
        <w:t>, tel que prévu par la Loi de Transition Energétique pour la Croissance Verte (LTECV) et son décret d’application n°2019-771 du 23 juillet 2019 (dit décret éco énergie tertiaire) ;</w:t>
      </w:r>
    </w:p>
    <w:p w14:paraId="78B9E4C5" w14:textId="1194E4D7" w:rsidR="00FA388C" w:rsidRPr="00456B5D" w:rsidRDefault="00FA388C" w:rsidP="00041800">
      <w:pPr>
        <w:pStyle w:val="Paragraphedeliste"/>
        <w:numPr>
          <w:ilvl w:val="1"/>
          <w:numId w:val="6"/>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Obligation de mise en œuvre d’un </w:t>
      </w:r>
      <w:r w:rsidRPr="00456B5D">
        <w:rPr>
          <w:rFonts w:ascii="Arial" w:hAnsi="Arial" w:cs="Arial"/>
          <w:b/>
          <w:bCs/>
          <w:iCs/>
          <w:sz w:val="20"/>
          <w:szCs w:val="20"/>
        </w:rPr>
        <w:t>Agenda d’Accessibilité Programmée</w:t>
      </w:r>
      <w:r w:rsidRPr="00456B5D">
        <w:rPr>
          <w:rFonts w:ascii="Arial" w:hAnsi="Arial" w:cs="Arial"/>
          <w:iCs/>
          <w:sz w:val="20"/>
          <w:szCs w:val="20"/>
        </w:rPr>
        <w:t xml:space="preserve"> (</w:t>
      </w:r>
      <w:proofErr w:type="spellStart"/>
      <w:r w:rsidRPr="00456B5D">
        <w:rPr>
          <w:rFonts w:ascii="Arial" w:hAnsi="Arial" w:cs="Arial"/>
          <w:iCs/>
          <w:sz w:val="20"/>
          <w:szCs w:val="20"/>
        </w:rPr>
        <w:t>Ad’AP</w:t>
      </w:r>
      <w:proofErr w:type="spellEnd"/>
      <w:r w:rsidRPr="00456B5D">
        <w:rPr>
          <w:rFonts w:ascii="Arial" w:hAnsi="Arial" w:cs="Arial"/>
          <w:iCs/>
          <w:sz w:val="20"/>
          <w:szCs w:val="20"/>
        </w:rPr>
        <w:t>) pour assurer l’accessibilité des Etablissements Recevant du Public (ERP) aux personnes en situation de handicap, conformément au décret n°2019-1376 du 16 décembre 2019 ;</w:t>
      </w:r>
    </w:p>
    <w:p w14:paraId="0E8A514E" w14:textId="324761F7" w:rsidR="00FA388C" w:rsidRPr="00456B5D" w:rsidRDefault="00FA388C" w:rsidP="00041800">
      <w:pPr>
        <w:pStyle w:val="Paragraphedeliste"/>
        <w:numPr>
          <w:ilvl w:val="1"/>
          <w:numId w:val="6"/>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Obligation de </w:t>
      </w:r>
      <w:r w:rsidRPr="00456B5D">
        <w:rPr>
          <w:rFonts w:ascii="Arial" w:hAnsi="Arial" w:cs="Arial"/>
          <w:b/>
          <w:bCs/>
          <w:iCs/>
          <w:sz w:val="20"/>
          <w:szCs w:val="20"/>
        </w:rPr>
        <w:t>protection des travailleurs vis-à-vis du risque d’exposition à l’amiante</w:t>
      </w:r>
      <w:r w:rsidRPr="00456B5D">
        <w:rPr>
          <w:rFonts w:ascii="Arial" w:hAnsi="Arial" w:cs="Arial"/>
          <w:iCs/>
          <w:sz w:val="20"/>
          <w:szCs w:val="20"/>
        </w:rPr>
        <w:t xml:space="preserve"> dans le cadre de travaux et particulièrement de travaux de retrait de matériaux amiantés, conformément à la section 3 du chapitre II du livre IV du Code du Travail.</w:t>
      </w:r>
    </w:p>
    <w:p w14:paraId="6B5DDB00" w14:textId="2D953D20" w:rsidR="00FA388C" w:rsidRPr="00456B5D" w:rsidRDefault="00FA388C" w:rsidP="00041800">
      <w:pPr>
        <w:pStyle w:val="Paragraphedeliste"/>
        <w:numPr>
          <w:ilvl w:val="1"/>
          <w:numId w:val="6"/>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Obligation de mettre en œuvre la </w:t>
      </w:r>
      <w:r w:rsidRPr="00456B5D">
        <w:rPr>
          <w:rFonts w:ascii="Arial" w:hAnsi="Arial" w:cs="Arial"/>
          <w:b/>
          <w:bCs/>
          <w:iCs/>
          <w:sz w:val="20"/>
          <w:szCs w:val="20"/>
        </w:rPr>
        <w:t xml:space="preserve">nouvelle doctrine d’occupation des immeubles tertiaires de l’Etat </w:t>
      </w:r>
      <w:r w:rsidRPr="00456B5D">
        <w:rPr>
          <w:rFonts w:ascii="Arial" w:hAnsi="Arial" w:cs="Arial"/>
          <w:iCs/>
          <w:sz w:val="20"/>
          <w:szCs w:val="20"/>
        </w:rPr>
        <w:t xml:space="preserve">: Circulaire Borne 6392 SG, 8 février 2023, </w:t>
      </w:r>
    </w:p>
    <w:p w14:paraId="0AA77BA6" w14:textId="49357554" w:rsidR="00FA388C" w:rsidRPr="00456B5D" w:rsidRDefault="00FA388C" w:rsidP="00041800">
      <w:pPr>
        <w:pStyle w:val="Paragraphedeliste"/>
        <w:numPr>
          <w:ilvl w:val="1"/>
          <w:numId w:val="6"/>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Obligation de réalisation d’un </w:t>
      </w:r>
      <w:r w:rsidRPr="00456B5D">
        <w:rPr>
          <w:rFonts w:ascii="Arial" w:hAnsi="Arial" w:cs="Arial"/>
          <w:b/>
          <w:bCs/>
          <w:iCs/>
          <w:sz w:val="20"/>
          <w:szCs w:val="20"/>
        </w:rPr>
        <w:t>Schéma Pluriannuel de Stratégie Immobilière</w:t>
      </w:r>
      <w:r w:rsidRPr="00456B5D">
        <w:rPr>
          <w:rFonts w:ascii="Arial" w:hAnsi="Arial" w:cs="Arial"/>
          <w:iCs/>
          <w:sz w:val="20"/>
          <w:szCs w:val="20"/>
        </w:rPr>
        <w:t xml:space="preserve"> (SPSI) pour les opérateurs de l’Etat, selon la circulaire du 16 janvier 2009 (NOR : PRMX0901404C) relative à la politique immobilière de l’Etat.</w:t>
      </w:r>
    </w:p>
    <w:p w14:paraId="563F5177" w14:textId="77777777" w:rsidR="00FA388C" w:rsidRPr="00FA388C" w:rsidRDefault="00FA388C" w:rsidP="00FA388C">
      <w:pPr>
        <w:spacing w:before="120" w:line="276" w:lineRule="auto"/>
        <w:jc w:val="both"/>
        <w:rPr>
          <w:rFonts w:ascii="Arial" w:hAnsi="Arial" w:cs="Arial"/>
          <w:iCs/>
          <w:sz w:val="20"/>
          <w:szCs w:val="20"/>
        </w:rPr>
      </w:pPr>
    </w:p>
    <w:p w14:paraId="56252AFB" w14:textId="43F53720"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 xml:space="preserve">Le contexte national définit plusieurs politiques et plans dans lesquelles l’action de l’Université </w:t>
      </w:r>
      <w:proofErr w:type="gramStart"/>
      <w:r w:rsidRPr="00FA388C">
        <w:rPr>
          <w:rFonts w:ascii="Arial" w:hAnsi="Arial" w:cs="Arial"/>
          <w:iCs/>
          <w:sz w:val="20"/>
          <w:szCs w:val="20"/>
        </w:rPr>
        <w:t>s’inscrit:</w:t>
      </w:r>
      <w:proofErr w:type="gramEnd"/>
    </w:p>
    <w:p w14:paraId="6AEEB679" w14:textId="77777777"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 xml:space="preserve"> </w:t>
      </w:r>
    </w:p>
    <w:p w14:paraId="62DB313F" w14:textId="1A91807F" w:rsidR="00FA388C" w:rsidRPr="00456B5D" w:rsidRDefault="00FA388C" w:rsidP="00041800">
      <w:pPr>
        <w:pStyle w:val="Paragraphedeliste"/>
        <w:numPr>
          <w:ilvl w:val="1"/>
          <w:numId w:val="7"/>
        </w:numPr>
        <w:spacing w:before="120" w:line="276" w:lineRule="auto"/>
        <w:ind w:left="709"/>
        <w:jc w:val="both"/>
        <w:rPr>
          <w:rFonts w:ascii="Arial" w:hAnsi="Arial" w:cs="Arial"/>
          <w:iCs/>
          <w:sz w:val="20"/>
          <w:szCs w:val="20"/>
        </w:rPr>
      </w:pPr>
      <w:r w:rsidRPr="00456B5D">
        <w:rPr>
          <w:rFonts w:ascii="Arial" w:hAnsi="Arial" w:cs="Arial"/>
          <w:iCs/>
          <w:sz w:val="20"/>
          <w:szCs w:val="20"/>
        </w:rPr>
        <w:lastRenderedPageBreak/>
        <w:t xml:space="preserve">Le </w:t>
      </w:r>
      <w:r w:rsidRPr="00456B5D">
        <w:rPr>
          <w:rFonts w:ascii="Arial" w:hAnsi="Arial" w:cs="Arial"/>
          <w:b/>
          <w:bCs/>
          <w:iCs/>
          <w:sz w:val="20"/>
          <w:szCs w:val="20"/>
        </w:rPr>
        <w:t>Plan de Sobriété Energétique</w:t>
      </w:r>
      <w:r w:rsidRPr="00456B5D">
        <w:rPr>
          <w:rFonts w:ascii="Arial" w:hAnsi="Arial" w:cs="Arial"/>
          <w:iCs/>
          <w:sz w:val="20"/>
          <w:szCs w:val="20"/>
        </w:rPr>
        <w:t>, qui réaffirme le devoir d’exemplarité de l’Etat à court et long terme en matière de réduction des consommations énergétique et d’émissions de gaz à effet de serre de son patrimoine immobilier et en matière d’accompagnement de la transition dans les mobilités, notamment en encourageant la pratique du vélo ;</w:t>
      </w:r>
    </w:p>
    <w:p w14:paraId="0DFD304E" w14:textId="5EF1A70B" w:rsidR="00FA388C" w:rsidRPr="00456B5D" w:rsidRDefault="00FA388C" w:rsidP="00041800">
      <w:pPr>
        <w:pStyle w:val="Paragraphedeliste"/>
        <w:numPr>
          <w:ilvl w:val="1"/>
          <w:numId w:val="7"/>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La </w:t>
      </w:r>
      <w:r w:rsidRPr="00456B5D">
        <w:rPr>
          <w:rFonts w:ascii="Arial" w:hAnsi="Arial" w:cs="Arial"/>
          <w:b/>
          <w:bCs/>
          <w:iCs/>
          <w:sz w:val="20"/>
          <w:szCs w:val="20"/>
        </w:rPr>
        <w:t>politique immobilière de l’Etat qui intègre notamment un objectif de modernisation et d’amélioration de la performance énergétique de ses bâtiments mais également une réduction des surfaces de bureaux</w:t>
      </w:r>
      <w:r w:rsidRPr="00456B5D">
        <w:rPr>
          <w:rFonts w:ascii="Arial" w:hAnsi="Arial" w:cs="Arial"/>
          <w:iCs/>
          <w:sz w:val="20"/>
          <w:szCs w:val="20"/>
        </w:rPr>
        <w:t xml:space="preserve"> (cf. annexe n°11 « Circulaire ministérielle n° 6392-SG 08 02 2023 - surfaces et </w:t>
      </w:r>
      <w:proofErr w:type="gramStart"/>
      <w:r w:rsidRPr="00456B5D">
        <w:rPr>
          <w:rFonts w:ascii="Arial" w:hAnsi="Arial" w:cs="Arial"/>
          <w:iCs/>
          <w:sz w:val="20"/>
          <w:szCs w:val="20"/>
        </w:rPr>
        <w:t>occupations»</w:t>
      </w:r>
      <w:proofErr w:type="gramEnd"/>
      <w:r w:rsidRPr="00456B5D">
        <w:rPr>
          <w:rFonts w:ascii="Arial" w:hAnsi="Arial" w:cs="Arial"/>
          <w:iCs/>
          <w:sz w:val="20"/>
          <w:szCs w:val="20"/>
        </w:rPr>
        <w:t>);</w:t>
      </w:r>
    </w:p>
    <w:p w14:paraId="4532E1D3" w14:textId="36A74C5F" w:rsidR="00FA388C" w:rsidRPr="00456B5D" w:rsidRDefault="00FA388C" w:rsidP="00041800">
      <w:pPr>
        <w:pStyle w:val="Paragraphedeliste"/>
        <w:numPr>
          <w:ilvl w:val="1"/>
          <w:numId w:val="7"/>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La politique de </w:t>
      </w:r>
      <w:r w:rsidRPr="00456B5D">
        <w:rPr>
          <w:rFonts w:ascii="Arial" w:hAnsi="Arial" w:cs="Arial"/>
          <w:b/>
          <w:bCs/>
          <w:iCs/>
          <w:sz w:val="20"/>
          <w:szCs w:val="20"/>
        </w:rPr>
        <w:t>maîtrise des comptes publics</w:t>
      </w:r>
      <w:r w:rsidRPr="00456B5D">
        <w:rPr>
          <w:rFonts w:ascii="Arial" w:hAnsi="Arial" w:cs="Arial"/>
          <w:iCs/>
          <w:sz w:val="20"/>
          <w:szCs w:val="20"/>
        </w:rPr>
        <w:t>, réaffirmée dans les Projets de Loi Finance depuis 2021, qui incite notamment à une meilleure maitrise des coûts d’exploitation et maintenance et à la prise en compte du coût global comme critère d’analyse des opérations de travaux immobiliers, comme le prévoit également le Code de la Commande Publique ;</w:t>
      </w:r>
    </w:p>
    <w:p w14:paraId="4C0E2C0D" w14:textId="2986D928" w:rsidR="00FA388C" w:rsidRPr="00456B5D" w:rsidRDefault="00FA388C" w:rsidP="00041800">
      <w:pPr>
        <w:pStyle w:val="Paragraphedeliste"/>
        <w:numPr>
          <w:ilvl w:val="1"/>
          <w:numId w:val="7"/>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La </w:t>
      </w:r>
      <w:r w:rsidRPr="00456B5D">
        <w:rPr>
          <w:rFonts w:ascii="Arial" w:hAnsi="Arial" w:cs="Arial"/>
          <w:b/>
          <w:bCs/>
          <w:iCs/>
          <w:sz w:val="20"/>
          <w:szCs w:val="20"/>
        </w:rPr>
        <w:t>Stratégie Nationale pour l’Enseignement Supérieur</w:t>
      </w:r>
      <w:r w:rsidRPr="00456B5D">
        <w:rPr>
          <w:rFonts w:ascii="Arial" w:hAnsi="Arial" w:cs="Arial"/>
          <w:iCs/>
          <w:sz w:val="20"/>
          <w:szCs w:val="20"/>
        </w:rPr>
        <w:t>, et notamment l’axe “construire une société apprenante” en valorisant les compétences nécessaires pour évoluer dans un monde complexe et en transformation rapide et en élevant le niveau général de qualification ;</w:t>
      </w:r>
    </w:p>
    <w:p w14:paraId="56BCC4BD" w14:textId="2C3C48E5" w:rsidR="00FA388C" w:rsidRPr="00456B5D" w:rsidRDefault="00FA388C" w:rsidP="00041800">
      <w:pPr>
        <w:pStyle w:val="Paragraphedeliste"/>
        <w:numPr>
          <w:ilvl w:val="1"/>
          <w:numId w:val="7"/>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La </w:t>
      </w:r>
      <w:r w:rsidRPr="00456B5D">
        <w:rPr>
          <w:rFonts w:ascii="Arial" w:hAnsi="Arial" w:cs="Arial"/>
          <w:b/>
          <w:bCs/>
          <w:iCs/>
          <w:sz w:val="20"/>
          <w:szCs w:val="20"/>
        </w:rPr>
        <w:t>Stratégie Nationale de Recherche</w:t>
      </w:r>
      <w:r w:rsidRPr="00456B5D">
        <w:rPr>
          <w:rFonts w:ascii="Arial" w:hAnsi="Arial" w:cs="Arial"/>
          <w:iCs/>
          <w:sz w:val="20"/>
          <w:szCs w:val="20"/>
        </w:rPr>
        <w:t>, et notamment son objectif de répondre aux défis scientifiques, technologiques, environnementaux et sociétaux auxquels la France devra faire face dans les décennies à venir.</w:t>
      </w:r>
    </w:p>
    <w:p w14:paraId="22D47495" w14:textId="77777777"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 xml:space="preserve"> </w:t>
      </w:r>
    </w:p>
    <w:p w14:paraId="4B893D83" w14:textId="77777777"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A l’échelle régionale, l’action de l’Université s’inscrit dans plusieurs stratégies :</w:t>
      </w:r>
    </w:p>
    <w:p w14:paraId="6B09AC12" w14:textId="51046AA0" w:rsidR="00FA388C" w:rsidRPr="00456B5D" w:rsidRDefault="00FA388C" w:rsidP="00041800">
      <w:pPr>
        <w:pStyle w:val="Paragraphedeliste"/>
        <w:numPr>
          <w:ilvl w:val="1"/>
          <w:numId w:val="8"/>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La </w:t>
      </w:r>
      <w:r w:rsidRPr="00456B5D">
        <w:rPr>
          <w:rFonts w:ascii="Arial" w:hAnsi="Arial" w:cs="Arial"/>
          <w:b/>
          <w:bCs/>
          <w:iCs/>
          <w:sz w:val="20"/>
          <w:szCs w:val="20"/>
        </w:rPr>
        <w:t>stratégie régionale Energie-Climat et le plan de protection, de résistance et d’adaptation de la Région Île-de-France</w:t>
      </w:r>
      <w:r w:rsidRPr="00456B5D">
        <w:rPr>
          <w:rFonts w:ascii="Arial" w:hAnsi="Arial" w:cs="Arial"/>
          <w:iCs/>
          <w:sz w:val="20"/>
          <w:szCs w:val="20"/>
        </w:rPr>
        <w:t xml:space="preserve"> </w:t>
      </w:r>
      <w:r w:rsidRPr="00456B5D">
        <w:rPr>
          <w:rFonts w:ascii="Arial" w:hAnsi="Arial" w:cs="Arial"/>
          <w:b/>
          <w:bCs/>
          <w:iCs/>
          <w:sz w:val="20"/>
          <w:szCs w:val="20"/>
        </w:rPr>
        <w:t xml:space="preserve">face au changement climatique </w:t>
      </w:r>
      <w:r w:rsidRPr="00456B5D">
        <w:rPr>
          <w:rFonts w:ascii="Arial" w:hAnsi="Arial" w:cs="Arial"/>
          <w:iCs/>
          <w:sz w:val="20"/>
          <w:szCs w:val="20"/>
        </w:rPr>
        <w:t xml:space="preserve">(PPRACC), qui affirment la nécessité de projets immobiliers sobres énergétiquement, conçus selon les principes du </w:t>
      </w:r>
      <w:proofErr w:type="spellStart"/>
      <w:r w:rsidRPr="00456B5D">
        <w:rPr>
          <w:rFonts w:ascii="Arial" w:hAnsi="Arial" w:cs="Arial"/>
          <w:iCs/>
          <w:sz w:val="20"/>
          <w:szCs w:val="20"/>
        </w:rPr>
        <w:t>bioclimatisme</w:t>
      </w:r>
      <w:proofErr w:type="spellEnd"/>
      <w:r w:rsidRPr="00456B5D">
        <w:rPr>
          <w:rFonts w:ascii="Arial" w:hAnsi="Arial" w:cs="Arial"/>
          <w:iCs/>
          <w:sz w:val="20"/>
          <w:szCs w:val="20"/>
        </w:rPr>
        <w:t xml:space="preserve"> et s’appuyant sur des démarches </w:t>
      </w:r>
      <w:proofErr w:type="spellStart"/>
      <w:r w:rsidRPr="00456B5D">
        <w:rPr>
          <w:rFonts w:ascii="Arial" w:hAnsi="Arial" w:cs="Arial"/>
          <w:iCs/>
          <w:sz w:val="20"/>
          <w:szCs w:val="20"/>
        </w:rPr>
        <w:t>low</w:t>
      </w:r>
      <w:proofErr w:type="spellEnd"/>
      <w:r w:rsidRPr="00456B5D">
        <w:rPr>
          <w:rFonts w:ascii="Arial" w:hAnsi="Arial" w:cs="Arial"/>
          <w:iCs/>
          <w:sz w:val="20"/>
          <w:szCs w:val="20"/>
        </w:rPr>
        <w:t xml:space="preserve"> tech, notamment en ce qui concerne les équipements techniques des bâtiments ;</w:t>
      </w:r>
    </w:p>
    <w:p w14:paraId="6D1B1470" w14:textId="6865B98A" w:rsidR="00FA388C" w:rsidRPr="00456B5D" w:rsidRDefault="00FA388C" w:rsidP="00041800">
      <w:pPr>
        <w:pStyle w:val="Paragraphedeliste"/>
        <w:numPr>
          <w:ilvl w:val="1"/>
          <w:numId w:val="8"/>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La </w:t>
      </w:r>
      <w:r w:rsidRPr="00456B5D">
        <w:rPr>
          <w:rFonts w:ascii="Arial" w:hAnsi="Arial" w:cs="Arial"/>
          <w:b/>
          <w:bCs/>
          <w:iCs/>
          <w:sz w:val="20"/>
          <w:szCs w:val="20"/>
        </w:rPr>
        <w:t xml:space="preserve">stratégie régionale pour la biodiversité 2020-2030 </w:t>
      </w:r>
      <w:r w:rsidRPr="00456B5D">
        <w:rPr>
          <w:rFonts w:ascii="Arial" w:hAnsi="Arial" w:cs="Arial"/>
          <w:iCs/>
          <w:sz w:val="20"/>
          <w:szCs w:val="20"/>
        </w:rPr>
        <w:t>qui fixe un cap “zéro artificialisation nette” et prévoit notamment de renaturer les espaces aménagés et d’éviter et réduire au maximum l’empreinte des projets ;</w:t>
      </w:r>
    </w:p>
    <w:p w14:paraId="42EC0E17" w14:textId="7B0CDA0F" w:rsidR="00FA388C" w:rsidRPr="00456B5D" w:rsidRDefault="00FA388C" w:rsidP="00041800">
      <w:pPr>
        <w:pStyle w:val="Paragraphedeliste"/>
        <w:numPr>
          <w:ilvl w:val="1"/>
          <w:numId w:val="8"/>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La </w:t>
      </w:r>
      <w:r w:rsidRPr="00456B5D">
        <w:rPr>
          <w:rFonts w:ascii="Arial" w:hAnsi="Arial" w:cs="Arial"/>
          <w:b/>
          <w:bCs/>
          <w:iCs/>
          <w:sz w:val="20"/>
          <w:szCs w:val="20"/>
        </w:rPr>
        <w:t>stratégie pour l’économie circulaire en Île-de-France</w:t>
      </w:r>
      <w:r w:rsidRPr="00456B5D">
        <w:rPr>
          <w:rFonts w:ascii="Arial" w:hAnsi="Arial" w:cs="Arial"/>
          <w:iCs/>
          <w:sz w:val="20"/>
          <w:szCs w:val="20"/>
        </w:rPr>
        <w:t xml:space="preserve"> qui fixe comme l’un de ses objectifs un doublement du volume d’approvisionnement d’origine locale et renouvelable pour le secteur de la construction (recours à des matériaux de réemploi et/ou bio-</w:t>
      </w:r>
      <w:proofErr w:type="spellStart"/>
      <w:r w:rsidRPr="00456B5D">
        <w:rPr>
          <w:rFonts w:ascii="Arial" w:hAnsi="Arial" w:cs="Arial"/>
          <w:iCs/>
          <w:sz w:val="20"/>
          <w:szCs w:val="20"/>
        </w:rPr>
        <w:t>géosourcés</w:t>
      </w:r>
      <w:proofErr w:type="spellEnd"/>
      <w:r w:rsidRPr="00456B5D">
        <w:rPr>
          <w:rFonts w:ascii="Arial" w:hAnsi="Arial" w:cs="Arial"/>
          <w:iCs/>
          <w:sz w:val="20"/>
          <w:szCs w:val="20"/>
        </w:rPr>
        <w:t>) ;</w:t>
      </w:r>
    </w:p>
    <w:p w14:paraId="74E55681" w14:textId="65CC1952" w:rsidR="00FA388C" w:rsidRPr="00456B5D" w:rsidRDefault="00FA388C" w:rsidP="00041800">
      <w:pPr>
        <w:pStyle w:val="Paragraphedeliste"/>
        <w:numPr>
          <w:ilvl w:val="1"/>
          <w:numId w:val="8"/>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Le </w:t>
      </w:r>
      <w:r w:rsidRPr="00456B5D">
        <w:rPr>
          <w:rFonts w:ascii="Arial" w:hAnsi="Arial" w:cs="Arial"/>
          <w:b/>
          <w:bCs/>
          <w:iCs/>
          <w:sz w:val="20"/>
          <w:szCs w:val="20"/>
        </w:rPr>
        <w:t>Schéma Régional de l’Enseignement Supérieur, la Recherche et l’Innovation</w:t>
      </w:r>
      <w:r w:rsidRPr="00456B5D">
        <w:rPr>
          <w:rFonts w:ascii="Arial" w:hAnsi="Arial" w:cs="Arial"/>
          <w:iCs/>
          <w:sz w:val="20"/>
          <w:szCs w:val="20"/>
        </w:rPr>
        <w:t xml:space="preserve"> (SRESRI), et notamment les enjeux “contribuer à l’intégration des campus dans les territoires, en phase avec leurs objectifs économiques, sociaux et écologiques” et “ouvrir les campus sur le territoire, viser l’excellence environnementale et la polyvalence des usages” ;</w:t>
      </w:r>
    </w:p>
    <w:p w14:paraId="1D347E03" w14:textId="00A8E87A" w:rsidR="00FA388C" w:rsidRPr="00456B5D" w:rsidRDefault="00FA388C" w:rsidP="00041800">
      <w:pPr>
        <w:pStyle w:val="Paragraphedeliste"/>
        <w:numPr>
          <w:ilvl w:val="1"/>
          <w:numId w:val="8"/>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Le </w:t>
      </w:r>
      <w:r w:rsidRPr="00456B5D">
        <w:rPr>
          <w:rFonts w:ascii="Arial" w:hAnsi="Arial" w:cs="Arial"/>
          <w:b/>
          <w:bCs/>
          <w:iCs/>
          <w:sz w:val="20"/>
          <w:szCs w:val="20"/>
        </w:rPr>
        <w:t>volet « Enseignement supérieur et recherche » du Contrat de Plan Etat Région</w:t>
      </w:r>
      <w:r w:rsidRPr="00456B5D">
        <w:rPr>
          <w:rFonts w:ascii="Arial" w:hAnsi="Arial" w:cs="Arial"/>
          <w:iCs/>
          <w:sz w:val="20"/>
          <w:szCs w:val="20"/>
        </w:rPr>
        <w:t xml:space="preserve"> (CPER), pour les opérations financées par ce dernier, qui porte un objectif de réduction de l’impact environnemental du bâti dédié à l’enseignement supérieur, tant en phase travaux qu'en l’exploitation ;</w:t>
      </w:r>
    </w:p>
    <w:p w14:paraId="01D30958" w14:textId="77777777" w:rsidR="00FA388C" w:rsidRPr="00FA388C" w:rsidRDefault="00FA388C" w:rsidP="00FA388C">
      <w:pPr>
        <w:spacing w:before="120" w:line="276" w:lineRule="auto"/>
        <w:jc w:val="both"/>
        <w:rPr>
          <w:rFonts w:ascii="Arial" w:hAnsi="Arial" w:cs="Arial"/>
          <w:iCs/>
          <w:sz w:val="20"/>
          <w:szCs w:val="20"/>
        </w:rPr>
      </w:pPr>
    </w:p>
    <w:p w14:paraId="181A16B0" w14:textId="77777777" w:rsidR="00FA388C" w:rsidRPr="00FA388C" w:rsidRDefault="00FA388C" w:rsidP="00FA388C">
      <w:pPr>
        <w:spacing w:before="120" w:line="276" w:lineRule="auto"/>
        <w:jc w:val="both"/>
        <w:rPr>
          <w:rFonts w:ascii="Arial" w:hAnsi="Arial" w:cs="Arial"/>
          <w:iCs/>
          <w:sz w:val="20"/>
          <w:szCs w:val="20"/>
        </w:rPr>
      </w:pPr>
      <w:r w:rsidRPr="00FA388C">
        <w:rPr>
          <w:rFonts w:ascii="Arial" w:hAnsi="Arial" w:cs="Arial"/>
          <w:iCs/>
          <w:sz w:val="20"/>
          <w:szCs w:val="20"/>
        </w:rPr>
        <w:t xml:space="preserve">L’implantation géographique de l’Université Paris Saclay, au cœur du territoire de l’Opération d’Intérêt National Paris Saclay l’inscrit dans la politique locale : </w:t>
      </w:r>
    </w:p>
    <w:p w14:paraId="3BE52DBD" w14:textId="69B4E7F2" w:rsidR="00FA388C" w:rsidRPr="00456B5D" w:rsidRDefault="00FA388C" w:rsidP="00041800">
      <w:pPr>
        <w:pStyle w:val="Paragraphedeliste"/>
        <w:numPr>
          <w:ilvl w:val="2"/>
          <w:numId w:val="9"/>
        </w:numPr>
        <w:spacing w:before="120" w:line="276" w:lineRule="auto"/>
        <w:ind w:left="709"/>
        <w:jc w:val="both"/>
        <w:rPr>
          <w:rFonts w:ascii="Arial" w:hAnsi="Arial" w:cs="Arial"/>
          <w:iCs/>
          <w:sz w:val="20"/>
          <w:szCs w:val="20"/>
        </w:rPr>
      </w:pPr>
      <w:r w:rsidRPr="00456B5D">
        <w:rPr>
          <w:rFonts w:ascii="Arial" w:hAnsi="Arial" w:cs="Arial"/>
          <w:iCs/>
          <w:sz w:val="20"/>
          <w:szCs w:val="20"/>
        </w:rPr>
        <w:t xml:space="preserve">Le projet de territoire de l’OIN Paris-Saclay et notamment le projet des ZAC de </w:t>
      </w:r>
      <w:proofErr w:type="spellStart"/>
      <w:r w:rsidRPr="00456B5D">
        <w:rPr>
          <w:rFonts w:ascii="Arial" w:hAnsi="Arial" w:cs="Arial"/>
          <w:iCs/>
          <w:sz w:val="20"/>
          <w:szCs w:val="20"/>
        </w:rPr>
        <w:t>Moulon</w:t>
      </w:r>
      <w:proofErr w:type="spellEnd"/>
      <w:r w:rsidRPr="00456B5D">
        <w:rPr>
          <w:rFonts w:ascii="Arial" w:hAnsi="Arial" w:cs="Arial"/>
          <w:iCs/>
          <w:sz w:val="20"/>
          <w:szCs w:val="20"/>
        </w:rPr>
        <w:t xml:space="preserve"> et de l’Ecole Polytechnique, qui visent à créer un pôle académique d’excellence dans un site portant une ambition paysagère et environnementale élevée.</w:t>
      </w:r>
    </w:p>
    <w:p w14:paraId="54A327A4" w14:textId="0A138691" w:rsidR="00CF799A" w:rsidRPr="00456B5D" w:rsidRDefault="00FA388C" w:rsidP="00041800">
      <w:pPr>
        <w:pStyle w:val="Paragraphedeliste"/>
        <w:numPr>
          <w:ilvl w:val="2"/>
          <w:numId w:val="9"/>
        </w:numPr>
        <w:spacing w:before="120" w:line="276" w:lineRule="auto"/>
        <w:ind w:left="709"/>
        <w:jc w:val="both"/>
        <w:rPr>
          <w:rFonts w:ascii="Arial" w:hAnsi="Arial" w:cs="Arial"/>
          <w:iCs/>
          <w:sz w:val="20"/>
          <w:szCs w:val="20"/>
        </w:rPr>
      </w:pPr>
      <w:r w:rsidRPr="00456B5D">
        <w:rPr>
          <w:rFonts w:ascii="Arial" w:hAnsi="Arial" w:cs="Arial"/>
          <w:iCs/>
          <w:sz w:val="20"/>
          <w:szCs w:val="20"/>
        </w:rPr>
        <w:t>Une inscription urbaine à l’échelle communale</w:t>
      </w:r>
      <w:r w:rsidR="00CF799A" w:rsidRPr="00456B5D">
        <w:rPr>
          <w:rFonts w:ascii="Arial" w:hAnsi="Arial" w:cs="Arial"/>
          <w:iCs/>
          <w:sz w:val="20"/>
          <w:szCs w:val="20"/>
        </w:rPr>
        <w:t xml:space="preserve"> </w:t>
      </w:r>
    </w:p>
    <w:p w14:paraId="629DEE08" w14:textId="77777777" w:rsidR="00186E30" w:rsidRDefault="00186E30" w:rsidP="00EB1633">
      <w:pPr>
        <w:spacing w:before="120" w:line="276" w:lineRule="auto"/>
        <w:jc w:val="both"/>
        <w:rPr>
          <w:rFonts w:ascii="Arial" w:hAnsi="Arial" w:cs="Arial"/>
          <w:iCs/>
          <w:sz w:val="20"/>
          <w:szCs w:val="20"/>
        </w:rPr>
      </w:pPr>
    </w:p>
    <w:p w14:paraId="480A9B53" w14:textId="21ECA2E8" w:rsidR="00C77962" w:rsidRDefault="00C77962" w:rsidP="001E1A15">
      <w:pPr>
        <w:pStyle w:val="Titre2"/>
        <w:pBdr>
          <w:bottom w:val="single" w:sz="6" w:space="0" w:color="auto"/>
        </w:pBdr>
        <w:tabs>
          <w:tab w:val="clear" w:pos="0"/>
          <w:tab w:val="num" w:pos="-1069"/>
        </w:tabs>
        <w:spacing w:before="120" w:line="276" w:lineRule="auto"/>
        <w:jc w:val="both"/>
        <w:rPr>
          <w:rFonts w:ascii="Arial" w:hAnsi="Arial" w:cs="Arial"/>
          <w:iCs/>
          <w:sz w:val="20"/>
          <w:szCs w:val="20"/>
        </w:rPr>
      </w:pPr>
      <w:bookmarkStart w:id="26" w:name="_Toc190275144"/>
      <w:r>
        <w:rPr>
          <w:rFonts w:ascii="Arial" w:hAnsi="Arial" w:cs="Arial"/>
          <w:iCs/>
          <w:sz w:val="20"/>
          <w:szCs w:val="20"/>
        </w:rPr>
        <w:lastRenderedPageBreak/>
        <w:t>Contexte d</w:t>
      </w:r>
      <w:r w:rsidR="000601A4">
        <w:rPr>
          <w:rFonts w:ascii="Arial" w:hAnsi="Arial" w:cs="Arial"/>
          <w:iCs/>
          <w:sz w:val="20"/>
          <w:szCs w:val="20"/>
        </w:rPr>
        <w:t>e l’accord cadre</w:t>
      </w:r>
    </w:p>
    <w:p w14:paraId="349234D5" w14:textId="77777777" w:rsidR="006437F0" w:rsidRPr="006437F0" w:rsidRDefault="006437F0" w:rsidP="006437F0">
      <w:pPr>
        <w:rPr>
          <w:rFonts w:ascii="Arial" w:hAnsi="Arial" w:cs="Arial"/>
          <w:iCs/>
          <w:sz w:val="20"/>
          <w:szCs w:val="20"/>
        </w:rPr>
      </w:pPr>
      <w:r w:rsidRPr="006437F0">
        <w:rPr>
          <w:rFonts w:ascii="Arial" w:hAnsi="Arial" w:cs="Arial"/>
          <w:iCs/>
          <w:sz w:val="20"/>
          <w:szCs w:val="20"/>
        </w:rPr>
        <w:t xml:space="preserve">L’Université a d’ores et déjà entrepris une démarche d’études importante afin d’alimenter ces deux outils de stratégie patrimoniale. Ont ainsi été effectués ou démarrés : </w:t>
      </w:r>
    </w:p>
    <w:p w14:paraId="6801AB3D" w14:textId="157E00B3" w:rsidR="006437F0" w:rsidRPr="006437F0" w:rsidRDefault="006437F0" w:rsidP="00041800">
      <w:pPr>
        <w:pStyle w:val="Paragraphedeliste"/>
        <w:numPr>
          <w:ilvl w:val="0"/>
          <w:numId w:val="10"/>
        </w:numPr>
        <w:ind w:left="709"/>
        <w:rPr>
          <w:rFonts w:ascii="Arial" w:hAnsi="Arial" w:cs="Arial"/>
          <w:iCs/>
          <w:sz w:val="20"/>
          <w:szCs w:val="20"/>
        </w:rPr>
      </w:pPr>
      <w:r w:rsidRPr="006437F0">
        <w:rPr>
          <w:rFonts w:ascii="Arial" w:hAnsi="Arial" w:cs="Arial"/>
          <w:iCs/>
          <w:sz w:val="20"/>
          <w:szCs w:val="20"/>
        </w:rPr>
        <w:t>Une étude urbaine prospective</w:t>
      </w:r>
      <w:r>
        <w:rPr>
          <w:rFonts w:ascii="Arial" w:hAnsi="Arial" w:cs="Arial"/>
          <w:iCs/>
          <w:sz w:val="20"/>
          <w:szCs w:val="20"/>
        </w:rPr>
        <w:t xml:space="preserve"> sur le campus Orsay-Bures-Gif</w:t>
      </w:r>
    </w:p>
    <w:p w14:paraId="23133787" w14:textId="3F8C8F29" w:rsidR="006437F0" w:rsidRPr="006437F0" w:rsidRDefault="006437F0" w:rsidP="00041800">
      <w:pPr>
        <w:pStyle w:val="Paragraphedeliste"/>
        <w:numPr>
          <w:ilvl w:val="0"/>
          <w:numId w:val="10"/>
        </w:numPr>
        <w:ind w:left="709"/>
        <w:rPr>
          <w:rFonts w:ascii="Arial" w:hAnsi="Arial" w:cs="Arial"/>
          <w:iCs/>
          <w:sz w:val="20"/>
          <w:szCs w:val="20"/>
        </w:rPr>
      </w:pPr>
      <w:r w:rsidRPr="006437F0">
        <w:rPr>
          <w:rFonts w:ascii="Arial" w:hAnsi="Arial" w:cs="Arial"/>
          <w:iCs/>
          <w:sz w:val="20"/>
          <w:szCs w:val="20"/>
        </w:rPr>
        <w:t xml:space="preserve">Un schéma directeur dédié à l’enseignement 1er cycle du campus vallée Orsay-Bures </w:t>
      </w:r>
    </w:p>
    <w:p w14:paraId="3345ECE4" w14:textId="77777777" w:rsidR="006437F0" w:rsidRPr="006437F0" w:rsidRDefault="006437F0" w:rsidP="006437F0">
      <w:pPr>
        <w:pStyle w:val="Paragraphedeliste"/>
        <w:ind w:left="709"/>
        <w:rPr>
          <w:rFonts w:ascii="Arial" w:hAnsi="Arial" w:cs="Arial"/>
          <w:iCs/>
          <w:sz w:val="20"/>
          <w:szCs w:val="20"/>
        </w:rPr>
      </w:pPr>
      <w:r w:rsidRPr="006437F0">
        <w:rPr>
          <w:rFonts w:ascii="Arial" w:hAnsi="Arial" w:cs="Arial"/>
          <w:iCs/>
          <w:sz w:val="20"/>
          <w:szCs w:val="20"/>
        </w:rPr>
        <w:t xml:space="preserve">Cette étude est axée sur l’enseignement 1er cycle de la vallée d’Orsay-Bures pour les UFR des Sciences, Sciences du Sport (F2S) et Droit Economie Management (DEM). </w:t>
      </w:r>
    </w:p>
    <w:p w14:paraId="6ABBB461" w14:textId="2717FECD" w:rsidR="006437F0" w:rsidRPr="006437F0" w:rsidRDefault="006437F0" w:rsidP="00041800">
      <w:pPr>
        <w:pStyle w:val="Paragraphedeliste"/>
        <w:numPr>
          <w:ilvl w:val="0"/>
          <w:numId w:val="10"/>
        </w:numPr>
        <w:ind w:left="709"/>
        <w:rPr>
          <w:rFonts w:ascii="Arial" w:hAnsi="Arial" w:cs="Arial"/>
          <w:iCs/>
          <w:sz w:val="20"/>
          <w:szCs w:val="20"/>
        </w:rPr>
      </w:pPr>
      <w:r w:rsidRPr="006437F0">
        <w:rPr>
          <w:rFonts w:ascii="Arial" w:hAnsi="Arial" w:cs="Arial"/>
          <w:iCs/>
          <w:sz w:val="20"/>
          <w:szCs w:val="20"/>
        </w:rPr>
        <w:t>Un plan de circulation vallée/Belvédère (en cours)</w:t>
      </w:r>
    </w:p>
    <w:p w14:paraId="3E03CC53" w14:textId="742D65CA" w:rsidR="006437F0" w:rsidRPr="006437F0" w:rsidRDefault="006437F0" w:rsidP="00041800">
      <w:pPr>
        <w:pStyle w:val="Paragraphedeliste"/>
        <w:numPr>
          <w:ilvl w:val="0"/>
          <w:numId w:val="10"/>
        </w:numPr>
        <w:ind w:left="709"/>
        <w:rPr>
          <w:rFonts w:ascii="Arial" w:hAnsi="Arial" w:cs="Arial"/>
          <w:iCs/>
          <w:sz w:val="20"/>
          <w:szCs w:val="20"/>
        </w:rPr>
      </w:pPr>
      <w:r w:rsidRPr="006437F0">
        <w:rPr>
          <w:rFonts w:ascii="Arial" w:hAnsi="Arial" w:cs="Arial"/>
          <w:iCs/>
          <w:sz w:val="20"/>
          <w:szCs w:val="20"/>
        </w:rPr>
        <w:t xml:space="preserve">Un schéma directeur </w:t>
      </w:r>
      <w:r>
        <w:rPr>
          <w:rFonts w:ascii="Arial" w:hAnsi="Arial" w:cs="Arial"/>
          <w:iCs/>
          <w:sz w:val="20"/>
          <w:szCs w:val="20"/>
        </w:rPr>
        <w:t>immobilier et éne</w:t>
      </w:r>
      <w:r w:rsidR="0044587A">
        <w:rPr>
          <w:rFonts w:ascii="Arial" w:hAnsi="Arial" w:cs="Arial"/>
          <w:iCs/>
          <w:sz w:val="20"/>
          <w:szCs w:val="20"/>
        </w:rPr>
        <w:t>r</w:t>
      </w:r>
      <w:r>
        <w:rPr>
          <w:rFonts w:ascii="Arial" w:hAnsi="Arial" w:cs="Arial"/>
          <w:iCs/>
          <w:sz w:val="20"/>
          <w:szCs w:val="20"/>
        </w:rPr>
        <w:t>gie (</w:t>
      </w:r>
      <w:r w:rsidR="0044587A">
        <w:rPr>
          <w:rFonts w:ascii="Arial" w:hAnsi="Arial" w:cs="Arial"/>
          <w:iCs/>
          <w:sz w:val="20"/>
          <w:szCs w:val="20"/>
        </w:rPr>
        <w:t xml:space="preserve">Périmètre employeur </w:t>
      </w:r>
      <w:r>
        <w:rPr>
          <w:rFonts w:ascii="Arial" w:hAnsi="Arial" w:cs="Arial"/>
          <w:iCs/>
          <w:sz w:val="20"/>
          <w:szCs w:val="20"/>
        </w:rPr>
        <w:t>en cours)</w:t>
      </w:r>
    </w:p>
    <w:p w14:paraId="32C252E3" w14:textId="10F07CC1" w:rsidR="006437F0" w:rsidRPr="006437F0" w:rsidRDefault="006437F0" w:rsidP="00041800">
      <w:pPr>
        <w:pStyle w:val="Paragraphedeliste"/>
        <w:numPr>
          <w:ilvl w:val="0"/>
          <w:numId w:val="10"/>
        </w:numPr>
        <w:ind w:left="709"/>
        <w:rPr>
          <w:rFonts w:ascii="Arial" w:hAnsi="Arial" w:cs="Arial"/>
          <w:iCs/>
          <w:sz w:val="20"/>
          <w:szCs w:val="20"/>
        </w:rPr>
      </w:pPr>
      <w:r w:rsidRPr="006437F0">
        <w:rPr>
          <w:rFonts w:ascii="Arial" w:hAnsi="Arial" w:cs="Arial"/>
          <w:iCs/>
          <w:sz w:val="20"/>
          <w:szCs w:val="20"/>
        </w:rPr>
        <w:t>Un plan de mobili</w:t>
      </w:r>
      <w:r>
        <w:rPr>
          <w:rFonts w:ascii="Arial" w:hAnsi="Arial" w:cs="Arial"/>
          <w:iCs/>
          <w:sz w:val="20"/>
          <w:szCs w:val="20"/>
        </w:rPr>
        <w:t>té</w:t>
      </w:r>
      <w:r w:rsidRPr="006437F0">
        <w:rPr>
          <w:rFonts w:ascii="Arial" w:hAnsi="Arial" w:cs="Arial"/>
          <w:iCs/>
          <w:sz w:val="20"/>
          <w:szCs w:val="20"/>
        </w:rPr>
        <w:t xml:space="preserve"> sur l’ensemble du périmètre de l’Université</w:t>
      </w:r>
      <w:r>
        <w:rPr>
          <w:rFonts w:ascii="Arial" w:hAnsi="Arial" w:cs="Arial"/>
          <w:iCs/>
          <w:sz w:val="20"/>
          <w:szCs w:val="20"/>
        </w:rPr>
        <w:t xml:space="preserve"> (périmètre </w:t>
      </w:r>
      <w:r w:rsidR="0044587A">
        <w:rPr>
          <w:rFonts w:ascii="Arial" w:hAnsi="Arial" w:cs="Arial"/>
          <w:iCs/>
          <w:sz w:val="20"/>
          <w:szCs w:val="20"/>
        </w:rPr>
        <w:t>UPS</w:t>
      </w:r>
      <w:r>
        <w:rPr>
          <w:rFonts w:ascii="Arial" w:hAnsi="Arial" w:cs="Arial"/>
          <w:iCs/>
          <w:sz w:val="20"/>
          <w:szCs w:val="20"/>
        </w:rPr>
        <w:t>)</w:t>
      </w:r>
    </w:p>
    <w:p w14:paraId="776EDC10" w14:textId="1AD3908B" w:rsidR="00C77962" w:rsidRDefault="006437F0" w:rsidP="00041800">
      <w:pPr>
        <w:pStyle w:val="Paragraphedeliste"/>
        <w:numPr>
          <w:ilvl w:val="0"/>
          <w:numId w:val="10"/>
        </w:numPr>
        <w:ind w:left="709"/>
        <w:rPr>
          <w:rFonts w:ascii="Arial" w:hAnsi="Arial" w:cs="Arial"/>
          <w:iCs/>
          <w:sz w:val="20"/>
          <w:szCs w:val="20"/>
        </w:rPr>
      </w:pPr>
      <w:r w:rsidRPr="006437F0">
        <w:rPr>
          <w:rFonts w:ascii="Arial" w:hAnsi="Arial" w:cs="Arial"/>
          <w:iCs/>
          <w:sz w:val="20"/>
          <w:szCs w:val="20"/>
        </w:rPr>
        <w:t>Un schéma directeur vie étudiante (</w:t>
      </w:r>
      <w:r w:rsidR="0044587A">
        <w:rPr>
          <w:rFonts w:ascii="Arial" w:hAnsi="Arial" w:cs="Arial"/>
          <w:iCs/>
          <w:sz w:val="20"/>
          <w:szCs w:val="20"/>
        </w:rPr>
        <w:t xml:space="preserve">échelle UPS </w:t>
      </w:r>
      <w:r w:rsidRPr="006437F0">
        <w:rPr>
          <w:rFonts w:ascii="Arial" w:hAnsi="Arial" w:cs="Arial"/>
          <w:iCs/>
          <w:sz w:val="20"/>
          <w:szCs w:val="20"/>
        </w:rPr>
        <w:t>en cours)</w:t>
      </w:r>
    </w:p>
    <w:p w14:paraId="415CEE27" w14:textId="6DB99D47" w:rsidR="0044587A" w:rsidRDefault="0044587A" w:rsidP="0044587A">
      <w:pPr>
        <w:rPr>
          <w:rFonts w:ascii="Arial" w:hAnsi="Arial" w:cs="Arial"/>
          <w:iCs/>
          <w:sz w:val="20"/>
          <w:szCs w:val="20"/>
        </w:rPr>
      </w:pPr>
    </w:p>
    <w:p w14:paraId="04D3AD13" w14:textId="5F112016" w:rsidR="0044587A" w:rsidRPr="0044587A" w:rsidRDefault="0044587A" w:rsidP="0044587A">
      <w:pPr>
        <w:rPr>
          <w:rFonts w:ascii="Arial" w:hAnsi="Arial" w:cs="Arial"/>
          <w:iCs/>
          <w:sz w:val="20"/>
          <w:szCs w:val="20"/>
        </w:rPr>
      </w:pPr>
      <w:r>
        <w:rPr>
          <w:rFonts w:ascii="Arial" w:hAnsi="Arial" w:cs="Arial"/>
          <w:iCs/>
          <w:sz w:val="20"/>
          <w:szCs w:val="20"/>
        </w:rPr>
        <w:t>Etudes spécifiques paysage et aménagement (à l’échelle campus Orsay-Bures-Gif) :</w:t>
      </w:r>
    </w:p>
    <w:p w14:paraId="68AFC6CC" w14:textId="77777777" w:rsidR="0044587A" w:rsidRPr="006437F0" w:rsidRDefault="0044587A" w:rsidP="00041800">
      <w:pPr>
        <w:pStyle w:val="Paragraphedeliste"/>
        <w:numPr>
          <w:ilvl w:val="0"/>
          <w:numId w:val="10"/>
        </w:numPr>
        <w:ind w:left="709"/>
        <w:rPr>
          <w:rFonts w:ascii="Arial" w:hAnsi="Arial" w:cs="Arial"/>
          <w:iCs/>
          <w:sz w:val="20"/>
          <w:szCs w:val="20"/>
        </w:rPr>
      </w:pPr>
      <w:r>
        <w:rPr>
          <w:rFonts w:ascii="Arial" w:hAnsi="Arial" w:cs="Arial"/>
          <w:iCs/>
          <w:sz w:val="20"/>
          <w:szCs w:val="20"/>
        </w:rPr>
        <w:t>Atlas de la biodiversité sur le campus Orsay-Bures-Gif</w:t>
      </w:r>
    </w:p>
    <w:p w14:paraId="25766012" w14:textId="3E3D3D82" w:rsidR="0044587A" w:rsidRDefault="0044587A" w:rsidP="00041800">
      <w:pPr>
        <w:pStyle w:val="Paragraphedeliste"/>
        <w:numPr>
          <w:ilvl w:val="0"/>
          <w:numId w:val="10"/>
        </w:numPr>
        <w:ind w:left="709"/>
        <w:rPr>
          <w:rFonts w:ascii="Arial" w:hAnsi="Arial" w:cs="Arial"/>
          <w:iCs/>
          <w:sz w:val="20"/>
          <w:szCs w:val="20"/>
        </w:rPr>
      </w:pPr>
      <w:r>
        <w:rPr>
          <w:rFonts w:ascii="Arial" w:hAnsi="Arial" w:cs="Arial"/>
          <w:iCs/>
          <w:sz w:val="20"/>
          <w:szCs w:val="20"/>
        </w:rPr>
        <w:t>Diagnostic zones humides potentielles</w:t>
      </w:r>
    </w:p>
    <w:p w14:paraId="4E6D7B84" w14:textId="0304DCD0" w:rsidR="0044587A" w:rsidRDefault="0044587A" w:rsidP="00041800">
      <w:pPr>
        <w:pStyle w:val="Paragraphedeliste"/>
        <w:numPr>
          <w:ilvl w:val="0"/>
          <w:numId w:val="10"/>
        </w:numPr>
        <w:ind w:left="709"/>
        <w:rPr>
          <w:rFonts w:ascii="Arial" w:hAnsi="Arial" w:cs="Arial"/>
          <w:iCs/>
          <w:sz w:val="20"/>
          <w:szCs w:val="20"/>
        </w:rPr>
      </w:pPr>
      <w:r>
        <w:rPr>
          <w:rFonts w:ascii="Arial" w:hAnsi="Arial" w:cs="Arial"/>
          <w:iCs/>
          <w:sz w:val="20"/>
          <w:szCs w:val="20"/>
        </w:rPr>
        <w:t>Plan paysage</w:t>
      </w:r>
    </w:p>
    <w:p w14:paraId="6C97BAB4" w14:textId="5485FF74" w:rsidR="0044587A" w:rsidRDefault="0044587A" w:rsidP="00041800">
      <w:pPr>
        <w:pStyle w:val="Paragraphedeliste"/>
        <w:numPr>
          <w:ilvl w:val="0"/>
          <w:numId w:val="10"/>
        </w:numPr>
        <w:ind w:left="709"/>
        <w:rPr>
          <w:rFonts w:ascii="Arial" w:hAnsi="Arial" w:cs="Arial"/>
          <w:iCs/>
          <w:sz w:val="20"/>
          <w:szCs w:val="20"/>
        </w:rPr>
      </w:pPr>
      <w:r>
        <w:rPr>
          <w:rFonts w:ascii="Arial" w:hAnsi="Arial" w:cs="Arial"/>
          <w:iCs/>
          <w:sz w:val="20"/>
          <w:szCs w:val="20"/>
        </w:rPr>
        <w:t xml:space="preserve">Schéma directeur d’aménagement et gestion </w:t>
      </w:r>
      <w:proofErr w:type="spellStart"/>
      <w:r>
        <w:rPr>
          <w:rFonts w:ascii="Arial" w:hAnsi="Arial" w:cs="Arial"/>
          <w:iCs/>
          <w:sz w:val="20"/>
          <w:szCs w:val="20"/>
        </w:rPr>
        <w:t>hydrolique</w:t>
      </w:r>
      <w:proofErr w:type="spellEnd"/>
    </w:p>
    <w:p w14:paraId="33A5E32D" w14:textId="31C335B0" w:rsidR="0044587A" w:rsidRDefault="0044587A" w:rsidP="00041800">
      <w:pPr>
        <w:pStyle w:val="Paragraphedeliste"/>
        <w:numPr>
          <w:ilvl w:val="0"/>
          <w:numId w:val="10"/>
        </w:numPr>
        <w:ind w:left="709"/>
        <w:rPr>
          <w:rFonts w:ascii="Arial" w:hAnsi="Arial" w:cs="Arial"/>
          <w:iCs/>
          <w:sz w:val="20"/>
          <w:szCs w:val="20"/>
        </w:rPr>
      </w:pPr>
      <w:r>
        <w:rPr>
          <w:rFonts w:ascii="Arial" w:hAnsi="Arial" w:cs="Arial"/>
          <w:iCs/>
          <w:sz w:val="20"/>
          <w:szCs w:val="20"/>
        </w:rPr>
        <w:t>Création d’une base SIG</w:t>
      </w:r>
    </w:p>
    <w:p w14:paraId="28EF7053" w14:textId="66C2370F" w:rsidR="0044587A" w:rsidRPr="006437F0" w:rsidRDefault="0044587A" w:rsidP="00041800">
      <w:pPr>
        <w:pStyle w:val="Paragraphedeliste"/>
        <w:numPr>
          <w:ilvl w:val="0"/>
          <w:numId w:val="10"/>
        </w:numPr>
        <w:ind w:left="709"/>
        <w:rPr>
          <w:rFonts w:ascii="Arial" w:hAnsi="Arial" w:cs="Arial"/>
          <w:iCs/>
          <w:sz w:val="20"/>
          <w:szCs w:val="20"/>
        </w:rPr>
      </w:pPr>
      <w:r>
        <w:rPr>
          <w:rFonts w:ascii="Arial" w:hAnsi="Arial" w:cs="Arial"/>
          <w:iCs/>
          <w:sz w:val="20"/>
          <w:szCs w:val="20"/>
        </w:rPr>
        <w:t>Plan de gestion du boisement</w:t>
      </w:r>
    </w:p>
    <w:p w14:paraId="7774A0E9" w14:textId="504DF6EA" w:rsidR="00C77962" w:rsidRPr="000601A4" w:rsidRDefault="00C77962" w:rsidP="00C77962">
      <w:pPr>
        <w:rPr>
          <w:rFonts w:ascii="Arial" w:hAnsi="Arial" w:cs="Arial"/>
          <w:iCs/>
          <w:sz w:val="20"/>
          <w:szCs w:val="20"/>
        </w:rPr>
      </w:pPr>
    </w:p>
    <w:p w14:paraId="396BBB09" w14:textId="77777777" w:rsidR="000601A4" w:rsidRPr="000601A4" w:rsidRDefault="000601A4" w:rsidP="000601A4">
      <w:pPr>
        <w:rPr>
          <w:rFonts w:ascii="Arial" w:hAnsi="Arial" w:cs="Arial"/>
          <w:iCs/>
          <w:sz w:val="20"/>
          <w:szCs w:val="20"/>
        </w:rPr>
      </w:pPr>
      <w:r w:rsidRPr="000601A4">
        <w:rPr>
          <w:rFonts w:ascii="Arial" w:hAnsi="Arial" w:cs="Arial"/>
          <w:iCs/>
          <w:sz w:val="20"/>
          <w:szCs w:val="20"/>
        </w:rPr>
        <w:t>En parallèle, l’Université pour effectuera une campagne de diagnostics sur l’ensemble de son patrimoine, à savoir :</w:t>
      </w:r>
    </w:p>
    <w:p w14:paraId="74F30961" w14:textId="77777777" w:rsidR="000601A4" w:rsidRPr="000601A4" w:rsidRDefault="000601A4" w:rsidP="000601A4">
      <w:pPr>
        <w:rPr>
          <w:rFonts w:ascii="Arial" w:hAnsi="Arial" w:cs="Arial"/>
          <w:iCs/>
          <w:sz w:val="20"/>
          <w:szCs w:val="20"/>
        </w:rPr>
      </w:pPr>
    </w:p>
    <w:tbl>
      <w:tblPr>
        <w:tblStyle w:val="Grilledutableau1"/>
        <w:tblW w:w="9498" w:type="dxa"/>
        <w:tblInd w:w="-431" w:type="dxa"/>
        <w:tblLook w:val="04A0" w:firstRow="1" w:lastRow="0" w:firstColumn="1" w:lastColumn="0" w:noHBand="0" w:noVBand="1"/>
      </w:tblPr>
      <w:tblGrid>
        <w:gridCol w:w="3120"/>
        <w:gridCol w:w="1767"/>
        <w:gridCol w:w="4611"/>
      </w:tblGrid>
      <w:tr w:rsidR="000601A4" w:rsidRPr="000601A4" w14:paraId="1EE375B1" w14:textId="77777777" w:rsidTr="000601A4">
        <w:trPr>
          <w:trHeight w:val="300"/>
        </w:trPr>
        <w:tc>
          <w:tcPr>
            <w:tcW w:w="3120" w:type="dxa"/>
            <w:hideMark/>
          </w:tcPr>
          <w:p w14:paraId="3CED52EC" w14:textId="77777777" w:rsidR="000601A4" w:rsidRPr="000601A4" w:rsidRDefault="000601A4" w:rsidP="000601A4">
            <w:pPr>
              <w:shd w:val="clear" w:color="auto" w:fill="FFFFFF"/>
              <w:rPr>
                <w:rFonts w:ascii="Open Sans" w:eastAsia="Open Sans" w:hAnsi="Open Sans" w:cs="Open Sans"/>
                <w:b/>
                <w:bCs/>
                <w:sz w:val="20"/>
                <w:szCs w:val="20"/>
              </w:rPr>
            </w:pPr>
            <w:r w:rsidRPr="000601A4">
              <w:rPr>
                <w:rFonts w:ascii="Open Sans" w:eastAsia="Open Sans" w:hAnsi="Open Sans" w:cs="Open Sans"/>
                <w:b/>
                <w:bCs/>
                <w:sz w:val="20"/>
                <w:szCs w:val="20"/>
              </w:rPr>
              <w:t>Intitulé</w:t>
            </w:r>
          </w:p>
        </w:tc>
        <w:tc>
          <w:tcPr>
            <w:tcW w:w="1767" w:type="dxa"/>
            <w:noWrap/>
            <w:hideMark/>
          </w:tcPr>
          <w:p w14:paraId="7792FDF9" w14:textId="77777777" w:rsidR="000601A4" w:rsidRPr="000601A4" w:rsidRDefault="000601A4" w:rsidP="000601A4">
            <w:pPr>
              <w:shd w:val="clear" w:color="auto" w:fill="FFFFFF"/>
              <w:rPr>
                <w:rFonts w:ascii="Open Sans" w:eastAsia="Open Sans" w:hAnsi="Open Sans" w:cs="Open Sans"/>
                <w:b/>
                <w:bCs/>
                <w:sz w:val="20"/>
                <w:szCs w:val="20"/>
              </w:rPr>
            </w:pPr>
            <w:r w:rsidRPr="000601A4">
              <w:rPr>
                <w:rFonts w:ascii="Open Sans" w:eastAsia="Open Sans" w:hAnsi="Open Sans" w:cs="Open Sans"/>
                <w:b/>
                <w:bCs/>
                <w:sz w:val="20"/>
                <w:szCs w:val="20"/>
              </w:rPr>
              <w:t>Périmètre</w:t>
            </w:r>
          </w:p>
        </w:tc>
        <w:tc>
          <w:tcPr>
            <w:tcW w:w="4611" w:type="dxa"/>
            <w:noWrap/>
            <w:hideMark/>
          </w:tcPr>
          <w:p w14:paraId="5D263C48" w14:textId="77777777" w:rsidR="000601A4" w:rsidRPr="000601A4" w:rsidRDefault="000601A4" w:rsidP="000601A4">
            <w:pPr>
              <w:shd w:val="clear" w:color="auto" w:fill="FFFFFF"/>
              <w:rPr>
                <w:rFonts w:ascii="Open Sans" w:eastAsia="Open Sans" w:hAnsi="Open Sans" w:cs="Open Sans"/>
                <w:b/>
                <w:bCs/>
                <w:sz w:val="20"/>
                <w:szCs w:val="20"/>
              </w:rPr>
            </w:pPr>
            <w:r w:rsidRPr="000601A4">
              <w:rPr>
                <w:rFonts w:ascii="Open Sans" w:eastAsia="Open Sans" w:hAnsi="Open Sans" w:cs="Open Sans"/>
                <w:b/>
                <w:bCs/>
                <w:sz w:val="20"/>
                <w:szCs w:val="20"/>
              </w:rPr>
              <w:t>Priorités</w:t>
            </w:r>
          </w:p>
        </w:tc>
      </w:tr>
      <w:tr w:rsidR="000601A4" w:rsidRPr="000601A4" w14:paraId="393246ED" w14:textId="77777777" w:rsidTr="000601A4">
        <w:trPr>
          <w:trHeight w:val="300"/>
        </w:trPr>
        <w:tc>
          <w:tcPr>
            <w:tcW w:w="3120" w:type="dxa"/>
            <w:hideMark/>
          </w:tcPr>
          <w:p w14:paraId="1726D17C"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Diagnostics amiante (niveau RAAD)</w:t>
            </w:r>
          </w:p>
        </w:tc>
        <w:tc>
          <w:tcPr>
            <w:tcW w:w="1767" w:type="dxa"/>
            <w:noWrap/>
            <w:hideMark/>
          </w:tcPr>
          <w:p w14:paraId="473F2EC7"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noWrap/>
            <w:hideMark/>
          </w:tcPr>
          <w:p w14:paraId="5DF272FD"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Campus Orsay-Bures-Gif Vallée</w:t>
            </w:r>
          </w:p>
        </w:tc>
      </w:tr>
      <w:tr w:rsidR="000601A4" w:rsidRPr="000601A4" w14:paraId="4DCE946E" w14:textId="77777777" w:rsidTr="000601A4">
        <w:trPr>
          <w:trHeight w:val="300"/>
        </w:trPr>
        <w:tc>
          <w:tcPr>
            <w:tcW w:w="3120" w:type="dxa"/>
            <w:hideMark/>
          </w:tcPr>
          <w:p w14:paraId="58D7C4F8"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Diagnostics plomb</w:t>
            </w:r>
          </w:p>
        </w:tc>
        <w:tc>
          <w:tcPr>
            <w:tcW w:w="1767" w:type="dxa"/>
            <w:noWrap/>
            <w:hideMark/>
          </w:tcPr>
          <w:p w14:paraId="68AC33E2"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noWrap/>
            <w:hideMark/>
          </w:tcPr>
          <w:p w14:paraId="314F647B"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Campus Orsay-Bures-Gif Vallée</w:t>
            </w:r>
          </w:p>
        </w:tc>
      </w:tr>
      <w:tr w:rsidR="000601A4" w:rsidRPr="000601A4" w14:paraId="5EE1263E" w14:textId="77777777" w:rsidTr="000601A4">
        <w:trPr>
          <w:trHeight w:val="300"/>
        </w:trPr>
        <w:tc>
          <w:tcPr>
            <w:tcW w:w="3120" w:type="dxa"/>
            <w:hideMark/>
          </w:tcPr>
          <w:p w14:paraId="09212053"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 xml:space="preserve">Diagnostics </w:t>
            </w:r>
            <w:proofErr w:type="gramStart"/>
            <w:r w:rsidRPr="000601A4">
              <w:rPr>
                <w:rFonts w:ascii="Open Sans" w:eastAsia="Open Sans" w:hAnsi="Open Sans" w:cs="Open Sans"/>
                <w:sz w:val="20"/>
                <w:szCs w:val="20"/>
              </w:rPr>
              <w:t>sanitaires:</w:t>
            </w:r>
            <w:proofErr w:type="gramEnd"/>
            <w:r w:rsidRPr="000601A4">
              <w:rPr>
                <w:rFonts w:ascii="Open Sans" w:eastAsia="Open Sans" w:hAnsi="Open Sans" w:cs="Open Sans"/>
                <w:sz w:val="20"/>
                <w:szCs w:val="20"/>
              </w:rPr>
              <w:t xml:space="preserve"> qualité de l'air (particules fines), radioactivité, etc.</w:t>
            </w:r>
          </w:p>
        </w:tc>
        <w:tc>
          <w:tcPr>
            <w:tcW w:w="1767" w:type="dxa"/>
            <w:noWrap/>
            <w:hideMark/>
          </w:tcPr>
          <w:p w14:paraId="56E1B3E4"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noWrap/>
            <w:hideMark/>
          </w:tcPr>
          <w:p w14:paraId="2BBF2452"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Selon opération</w:t>
            </w:r>
          </w:p>
        </w:tc>
      </w:tr>
      <w:tr w:rsidR="000601A4" w:rsidRPr="000601A4" w14:paraId="0E743268" w14:textId="77777777" w:rsidTr="000601A4">
        <w:trPr>
          <w:trHeight w:val="900"/>
        </w:trPr>
        <w:tc>
          <w:tcPr>
            <w:tcW w:w="3120" w:type="dxa"/>
            <w:hideMark/>
          </w:tcPr>
          <w:p w14:paraId="7E850B29"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Diagnostics massifs et réseaux enterrés + diagnostic de l'état des ouvrages EU/EP et plan d'action de rénovation</w:t>
            </w:r>
          </w:p>
        </w:tc>
        <w:tc>
          <w:tcPr>
            <w:tcW w:w="1767" w:type="dxa"/>
            <w:noWrap/>
            <w:hideMark/>
          </w:tcPr>
          <w:p w14:paraId="510A20A6"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noWrap/>
            <w:hideMark/>
          </w:tcPr>
          <w:p w14:paraId="0C936AC8"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Campus Orsay-Bures-Gif Vallée (y compris Belvédère)</w:t>
            </w:r>
          </w:p>
        </w:tc>
      </w:tr>
      <w:tr w:rsidR="000601A4" w:rsidRPr="000601A4" w14:paraId="2ACD9A7D" w14:textId="77777777" w:rsidTr="000601A4">
        <w:trPr>
          <w:trHeight w:val="300"/>
        </w:trPr>
        <w:tc>
          <w:tcPr>
            <w:tcW w:w="3120" w:type="dxa"/>
            <w:hideMark/>
          </w:tcPr>
          <w:p w14:paraId="1ABE78A8"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Diagnostics hydro-géotechniques</w:t>
            </w:r>
          </w:p>
        </w:tc>
        <w:tc>
          <w:tcPr>
            <w:tcW w:w="1767" w:type="dxa"/>
            <w:noWrap/>
            <w:hideMark/>
          </w:tcPr>
          <w:p w14:paraId="18277357"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noWrap/>
            <w:hideMark/>
          </w:tcPr>
          <w:p w14:paraId="3C808DD3"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Pose de piézomètres en TF, diagnostic géotechnique en TO selon besoin</w:t>
            </w:r>
          </w:p>
        </w:tc>
      </w:tr>
      <w:tr w:rsidR="000601A4" w:rsidRPr="000601A4" w14:paraId="2089A25C" w14:textId="77777777" w:rsidTr="000601A4">
        <w:trPr>
          <w:trHeight w:val="300"/>
        </w:trPr>
        <w:tc>
          <w:tcPr>
            <w:tcW w:w="3120" w:type="dxa"/>
            <w:hideMark/>
          </w:tcPr>
          <w:p w14:paraId="2CAC8826"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Etude hydrologique (gestion des eaux de surfaces et souterraines + Yvette)</w:t>
            </w:r>
          </w:p>
        </w:tc>
        <w:tc>
          <w:tcPr>
            <w:tcW w:w="1767" w:type="dxa"/>
            <w:noWrap/>
            <w:hideMark/>
          </w:tcPr>
          <w:p w14:paraId="71EFF25E"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Orsay-Bures-Gif</w:t>
            </w:r>
          </w:p>
        </w:tc>
        <w:tc>
          <w:tcPr>
            <w:tcW w:w="4611" w:type="dxa"/>
            <w:noWrap/>
            <w:hideMark/>
          </w:tcPr>
          <w:p w14:paraId="1D31F4D0"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Campus Orsay-Bures-Gif Vallée</w:t>
            </w:r>
          </w:p>
        </w:tc>
      </w:tr>
      <w:tr w:rsidR="000601A4" w:rsidRPr="000601A4" w14:paraId="2D30F841" w14:textId="77777777" w:rsidTr="000601A4">
        <w:trPr>
          <w:trHeight w:val="1200"/>
        </w:trPr>
        <w:tc>
          <w:tcPr>
            <w:tcW w:w="3120" w:type="dxa"/>
            <w:hideMark/>
          </w:tcPr>
          <w:p w14:paraId="5B26723F"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Diagnostics structure</w:t>
            </w:r>
          </w:p>
        </w:tc>
        <w:tc>
          <w:tcPr>
            <w:tcW w:w="1767" w:type="dxa"/>
            <w:noWrap/>
            <w:hideMark/>
          </w:tcPr>
          <w:p w14:paraId="6CF9B805"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hideMark/>
          </w:tcPr>
          <w:p w14:paraId="43158F8D"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Diagnostic général de l'état des structures et notamment des bétons avec échantillonnage éventuel sur tous les sites</w:t>
            </w:r>
            <w:r w:rsidRPr="000601A4">
              <w:rPr>
                <w:rFonts w:ascii="Verdana" w:eastAsia="MS Mincho" w:hAnsi="Verdana"/>
                <w:sz w:val="18"/>
              </w:rPr>
              <w:br/>
            </w:r>
            <w:r w:rsidRPr="000601A4">
              <w:rPr>
                <w:rFonts w:ascii="Open Sans" w:eastAsia="Open Sans" w:hAnsi="Open Sans" w:cs="Open Sans"/>
                <w:sz w:val="20"/>
                <w:szCs w:val="20"/>
              </w:rPr>
              <w:t>Selon opérations : diagnostic complet (identification des porteurs et calcul des capacités portantes) selon besoin</w:t>
            </w:r>
          </w:p>
        </w:tc>
      </w:tr>
      <w:tr w:rsidR="000601A4" w:rsidRPr="000601A4" w14:paraId="048183F3" w14:textId="77777777" w:rsidTr="000601A4">
        <w:trPr>
          <w:trHeight w:val="300"/>
        </w:trPr>
        <w:tc>
          <w:tcPr>
            <w:tcW w:w="3120" w:type="dxa"/>
            <w:hideMark/>
          </w:tcPr>
          <w:p w14:paraId="4AB09BE5"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Relevés parcellaires et topographiques</w:t>
            </w:r>
          </w:p>
        </w:tc>
        <w:tc>
          <w:tcPr>
            <w:tcW w:w="1767" w:type="dxa"/>
            <w:noWrap/>
            <w:hideMark/>
          </w:tcPr>
          <w:p w14:paraId="74598890"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noWrap/>
            <w:hideMark/>
          </w:tcPr>
          <w:p w14:paraId="29D8FD7E"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Campus Orsay-Bures-Gif Vallée</w:t>
            </w:r>
          </w:p>
        </w:tc>
      </w:tr>
      <w:tr w:rsidR="000601A4" w:rsidRPr="000601A4" w14:paraId="479AF0DD" w14:textId="77777777" w:rsidTr="000601A4">
        <w:trPr>
          <w:trHeight w:val="600"/>
        </w:trPr>
        <w:tc>
          <w:tcPr>
            <w:tcW w:w="3120" w:type="dxa"/>
            <w:hideMark/>
          </w:tcPr>
          <w:p w14:paraId="77AFA517"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 xml:space="preserve">Relevés géomètres des bâtiments (niveaux </w:t>
            </w:r>
            <w:proofErr w:type="spellStart"/>
            <w:r w:rsidRPr="000601A4">
              <w:rPr>
                <w:rFonts w:ascii="Open Sans" w:eastAsia="Open Sans" w:hAnsi="Open Sans" w:cs="Open Sans"/>
                <w:sz w:val="20"/>
                <w:szCs w:val="20"/>
              </w:rPr>
              <w:t>yc</w:t>
            </w:r>
            <w:proofErr w:type="spellEnd"/>
            <w:r w:rsidRPr="000601A4">
              <w:rPr>
                <w:rFonts w:ascii="Open Sans" w:eastAsia="Open Sans" w:hAnsi="Open Sans" w:cs="Open Sans"/>
                <w:sz w:val="20"/>
                <w:szCs w:val="20"/>
              </w:rPr>
              <w:t xml:space="preserve"> toiture, coupes et façades)</w:t>
            </w:r>
          </w:p>
        </w:tc>
        <w:tc>
          <w:tcPr>
            <w:tcW w:w="1767" w:type="dxa"/>
            <w:noWrap/>
            <w:hideMark/>
          </w:tcPr>
          <w:p w14:paraId="285D5CD1"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hideMark/>
          </w:tcPr>
          <w:p w14:paraId="20BE8256" w14:textId="77777777" w:rsidR="000601A4" w:rsidRPr="000601A4" w:rsidRDefault="000601A4" w:rsidP="000601A4">
            <w:pPr>
              <w:shd w:val="clear" w:color="auto" w:fill="FFFFFF"/>
              <w:rPr>
                <w:rFonts w:ascii="Open Sans" w:eastAsia="Open Sans" w:hAnsi="Open Sans" w:cs="Open Sans"/>
                <w:sz w:val="20"/>
                <w:szCs w:val="20"/>
              </w:rPr>
            </w:pPr>
            <w:proofErr w:type="spellStart"/>
            <w:r w:rsidRPr="000601A4">
              <w:rPr>
                <w:rFonts w:ascii="Open Sans" w:eastAsia="Open Sans" w:hAnsi="Open Sans" w:cs="Open Sans"/>
                <w:sz w:val="20"/>
                <w:szCs w:val="20"/>
              </w:rPr>
              <w:t>Elevations</w:t>
            </w:r>
            <w:proofErr w:type="spellEnd"/>
            <w:r w:rsidRPr="000601A4">
              <w:rPr>
                <w:rFonts w:ascii="Open Sans" w:eastAsia="Open Sans" w:hAnsi="Open Sans" w:cs="Open Sans"/>
                <w:sz w:val="20"/>
                <w:szCs w:val="20"/>
              </w:rPr>
              <w:t xml:space="preserve"> et coupes tous campus</w:t>
            </w:r>
            <w:r w:rsidRPr="000601A4">
              <w:rPr>
                <w:rFonts w:ascii="Verdana" w:eastAsia="MS Mincho" w:hAnsi="Verdana"/>
                <w:sz w:val="18"/>
              </w:rPr>
              <w:br/>
            </w:r>
            <w:r w:rsidRPr="000601A4">
              <w:rPr>
                <w:rFonts w:ascii="Open Sans" w:eastAsia="Open Sans" w:hAnsi="Open Sans" w:cs="Open Sans"/>
                <w:sz w:val="20"/>
                <w:szCs w:val="20"/>
              </w:rPr>
              <w:t xml:space="preserve">Selon nécessités :  plans de niveau </w:t>
            </w:r>
          </w:p>
        </w:tc>
      </w:tr>
      <w:tr w:rsidR="000601A4" w:rsidRPr="000601A4" w14:paraId="2E3BA64B" w14:textId="77777777" w:rsidTr="000601A4">
        <w:trPr>
          <w:trHeight w:val="300"/>
        </w:trPr>
        <w:tc>
          <w:tcPr>
            <w:tcW w:w="3120" w:type="dxa"/>
            <w:hideMark/>
          </w:tcPr>
          <w:p w14:paraId="1E171D0A"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Audits énergétiques des bâtiments</w:t>
            </w:r>
          </w:p>
        </w:tc>
        <w:tc>
          <w:tcPr>
            <w:tcW w:w="1767" w:type="dxa"/>
            <w:noWrap/>
            <w:hideMark/>
          </w:tcPr>
          <w:p w14:paraId="77C1B86F"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hideMark/>
          </w:tcPr>
          <w:p w14:paraId="5DCD762E"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Selon opérations</w:t>
            </w:r>
          </w:p>
        </w:tc>
      </w:tr>
      <w:tr w:rsidR="000601A4" w:rsidRPr="000601A4" w14:paraId="48C936C8" w14:textId="77777777" w:rsidTr="000601A4">
        <w:trPr>
          <w:trHeight w:val="300"/>
        </w:trPr>
        <w:tc>
          <w:tcPr>
            <w:tcW w:w="3120" w:type="dxa"/>
            <w:hideMark/>
          </w:tcPr>
          <w:p w14:paraId="41674E15"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Etude de signalétique</w:t>
            </w:r>
          </w:p>
        </w:tc>
        <w:tc>
          <w:tcPr>
            <w:tcW w:w="1767" w:type="dxa"/>
            <w:noWrap/>
            <w:hideMark/>
          </w:tcPr>
          <w:p w14:paraId="332B565E"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Tous les campus</w:t>
            </w:r>
          </w:p>
        </w:tc>
        <w:tc>
          <w:tcPr>
            <w:tcW w:w="4611" w:type="dxa"/>
            <w:noWrap/>
            <w:hideMark/>
          </w:tcPr>
          <w:p w14:paraId="209D2CB7" w14:textId="77777777" w:rsidR="000601A4" w:rsidRPr="000601A4" w:rsidRDefault="000601A4" w:rsidP="000601A4">
            <w:pPr>
              <w:shd w:val="clear" w:color="auto" w:fill="FFFFFF"/>
              <w:rPr>
                <w:rFonts w:ascii="Open Sans" w:eastAsia="Open Sans" w:hAnsi="Open Sans" w:cs="Open Sans"/>
                <w:sz w:val="20"/>
                <w:szCs w:val="20"/>
              </w:rPr>
            </w:pPr>
            <w:r w:rsidRPr="000601A4">
              <w:rPr>
                <w:rFonts w:ascii="Open Sans" w:eastAsia="Open Sans" w:hAnsi="Open Sans" w:cs="Open Sans"/>
                <w:sz w:val="20"/>
                <w:szCs w:val="20"/>
              </w:rPr>
              <w:t>Campus Orsay-Bures-Gif Vallée</w:t>
            </w:r>
          </w:p>
        </w:tc>
      </w:tr>
    </w:tbl>
    <w:p w14:paraId="5A065AFA" w14:textId="40DD1F35" w:rsidR="00C77962" w:rsidRDefault="00C77962" w:rsidP="00C77962"/>
    <w:p w14:paraId="7E030DCA" w14:textId="2925519F" w:rsidR="00C77962" w:rsidRPr="00C77962" w:rsidRDefault="00827AE6" w:rsidP="00754A20">
      <w:pPr>
        <w:pStyle w:val="Titre2"/>
        <w:pBdr>
          <w:bottom w:val="single" w:sz="6" w:space="0" w:color="auto"/>
        </w:pBdr>
        <w:tabs>
          <w:tab w:val="clear" w:pos="0"/>
          <w:tab w:val="num" w:pos="-1069"/>
        </w:tabs>
        <w:spacing w:before="120" w:line="276" w:lineRule="auto"/>
        <w:jc w:val="both"/>
      </w:pPr>
      <w:r>
        <w:rPr>
          <w:rFonts w:ascii="Arial" w:hAnsi="Arial" w:cs="Arial"/>
          <w:iCs/>
          <w:sz w:val="20"/>
          <w:szCs w:val="20"/>
        </w:rPr>
        <w:t>Missions en lien avec le Schéma Directeur Immobilier</w:t>
      </w:r>
      <w:r w:rsidR="00B102D7">
        <w:rPr>
          <w:rFonts w:ascii="Arial" w:hAnsi="Arial" w:cs="Arial"/>
          <w:iCs/>
          <w:sz w:val="20"/>
          <w:szCs w:val="20"/>
        </w:rPr>
        <w:t xml:space="preserve"> (SDI)</w:t>
      </w:r>
    </w:p>
    <w:bookmarkEnd w:id="12"/>
    <w:bookmarkEnd w:id="26"/>
    <w:p w14:paraId="0F11FEEA" w14:textId="77777777" w:rsidR="004356F5" w:rsidRPr="00F81AD2" w:rsidRDefault="004356F5" w:rsidP="00F81AD2">
      <w:pPr>
        <w:tabs>
          <w:tab w:val="left" w:pos="253"/>
        </w:tabs>
        <w:spacing w:line="276" w:lineRule="auto"/>
        <w:jc w:val="both"/>
        <w:rPr>
          <w:rFonts w:ascii="Arial" w:hAnsi="Arial" w:cs="Arial"/>
          <w:sz w:val="20"/>
          <w:szCs w:val="20"/>
        </w:rPr>
      </w:pPr>
    </w:p>
    <w:p w14:paraId="4F872B21" w14:textId="376E0DAD" w:rsidR="00827AE6" w:rsidRDefault="00827AE6" w:rsidP="00827AE6">
      <w:pPr>
        <w:pStyle w:val="Paragraphedeliste"/>
        <w:spacing w:line="276" w:lineRule="auto"/>
        <w:ind w:left="0"/>
        <w:jc w:val="both"/>
        <w:rPr>
          <w:rFonts w:ascii="Arial" w:hAnsi="Arial" w:cs="Arial"/>
          <w:sz w:val="20"/>
          <w:szCs w:val="20"/>
        </w:rPr>
      </w:pPr>
      <w:bookmarkStart w:id="27" w:name="_Toc151995132"/>
      <w:bookmarkStart w:id="28" w:name="_Toc152161207"/>
      <w:bookmarkStart w:id="29" w:name="_Toc151995133"/>
      <w:bookmarkStart w:id="30" w:name="_Toc152161208"/>
      <w:bookmarkStart w:id="31" w:name="_Toc151995134"/>
      <w:bookmarkStart w:id="32" w:name="_Toc152161209"/>
      <w:bookmarkStart w:id="33" w:name="_Toc151995135"/>
      <w:bookmarkStart w:id="34" w:name="_Toc152161210"/>
      <w:bookmarkStart w:id="35" w:name="_Toc151995136"/>
      <w:bookmarkStart w:id="36" w:name="_Toc152161211"/>
      <w:bookmarkStart w:id="37" w:name="_Toc151995137"/>
      <w:bookmarkStart w:id="38" w:name="_Toc152161212"/>
      <w:bookmarkStart w:id="39" w:name="_Toc151995138"/>
      <w:bookmarkStart w:id="40" w:name="_Toc152161213"/>
      <w:bookmarkStart w:id="41" w:name="_Toc151995139"/>
      <w:bookmarkStart w:id="42" w:name="_Toc152161214"/>
      <w:bookmarkStart w:id="43" w:name="_Toc151995140"/>
      <w:bookmarkStart w:id="44" w:name="_Toc152161215"/>
      <w:bookmarkStart w:id="45" w:name="_Toc151995141"/>
      <w:bookmarkStart w:id="46" w:name="_Toc152161216"/>
      <w:bookmarkStart w:id="47" w:name="_Toc151995142"/>
      <w:bookmarkStart w:id="48" w:name="_Toc152161217"/>
      <w:bookmarkStart w:id="49" w:name="_Toc151995143"/>
      <w:bookmarkStart w:id="50" w:name="_Toc152161218"/>
      <w:bookmarkStart w:id="51" w:name="_Toc151995144"/>
      <w:bookmarkStart w:id="52" w:name="_Toc152161219"/>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r>
        <w:rPr>
          <w:rFonts w:ascii="Arial" w:hAnsi="Arial" w:cs="Arial"/>
          <w:sz w:val="20"/>
          <w:szCs w:val="20"/>
        </w:rPr>
        <w:t>L’Université a démarré depuis début 2025 un diagnostic technique sur l’ensemble de son patrimoine périmètre employeur. Il sera suivi d’un diagnostic fonctionnel et d’une analyse des besoins pour l’ensemble des usagers de l’Université puis de</w:t>
      </w:r>
      <w:r w:rsidR="00C20E4B">
        <w:rPr>
          <w:rFonts w:ascii="Arial" w:hAnsi="Arial" w:cs="Arial"/>
          <w:sz w:val="20"/>
          <w:szCs w:val="20"/>
        </w:rPr>
        <w:t xml:space="preserve"> l’élaboration de scénarios pour le schéma Directeur Immobilier à l’horizon 2050 et pour le prochain SPSI 2025-2029.</w:t>
      </w:r>
    </w:p>
    <w:p w14:paraId="7DF690E1" w14:textId="0015AB4D" w:rsidR="00364C77" w:rsidRDefault="00827AE6" w:rsidP="00827AE6">
      <w:pPr>
        <w:pStyle w:val="Paragraphedeliste"/>
        <w:spacing w:line="276" w:lineRule="auto"/>
        <w:ind w:left="0"/>
        <w:jc w:val="both"/>
        <w:rPr>
          <w:rFonts w:ascii="Arial" w:hAnsi="Arial" w:cs="Arial"/>
          <w:sz w:val="20"/>
          <w:szCs w:val="20"/>
        </w:rPr>
      </w:pPr>
      <w:r>
        <w:rPr>
          <w:rFonts w:ascii="Arial" w:hAnsi="Arial" w:cs="Arial"/>
          <w:sz w:val="20"/>
          <w:szCs w:val="20"/>
        </w:rPr>
        <w:t xml:space="preserve">Ces missions ont été confiées à l’équipe de programmation </w:t>
      </w:r>
      <w:proofErr w:type="spellStart"/>
      <w:r>
        <w:rPr>
          <w:rFonts w:ascii="Arial" w:hAnsi="Arial" w:cs="Arial"/>
          <w:sz w:val="20"/>
          <w:szCs w:val="20"/>
        </w:rPr>
        <w:t>Co-S</w:t>
      </w:r>
      <w:proofErr w:type="spellEnd"/>
      <w:r w:rsidR="00C20E4B">
        <w:rPr>
          <w:rFonts w:ascii="Arial" w:hAnsi="Arial" w:cs="Arial"/>
          <w:sz w:val="20"/>
          <w:szCs w:val="20"/>
        </w:rPr>
        <w:t xml:space="preserve"> – </w:t>
      </w:r>
      <w:proofErr w:type="spellStart"/>
      <w:r w:rsidR="00C20E4B">
        <w:rPr>
          <w:rFonts w:ascii="Arial" w:hAnsi="Arial" w:cs="Arial"/>
          <w:sz w:val="20"/>
          <w:szCs w:val="20"/>
        </w:rPr>
        <w:t>Vizéa</w:t>
      </w:r>
      <w:proofErr w:type="spellEnd"/>
      <w:r w:rsidR="00C20E4B">
        <w:rPr>
          <w:rFonts w:ascii="Arial" w:hAnsi="Arial" w:cs="Arial"/>
          <w:sz w:val="20"/>
          <w:szCs w:val="20"/>
        </w:rPr>
        <w:t xml:space="preserve"> – Vraiment </w:t>
      </w:r>
      <w:proofErr w:type="spellStart"/>
      <w:r w:rsidR="00C20E4B">
        <w:rPr>
          <w:rFonts w:ascii="Arial" w:hAnsi="Arial" w:cs="Arial"/>
          <w:sz w:val="20"/>
          <w:szCs w:val="20"/>
        </w:rPr>
        <w:t>Vraiment</w:t>
      </w:r>
      <w:proofErr w:type="spellEnd"/>
      <w:r w:rsidR="00C20E4B">
        <w:rPr>
          <w:rFonts w:ascii="Arial" w:hAnsi="Arial" w:cs="Arial"/>
          <w:sz w:val="20"/>
          <w:szCs w:val="20"/>
        </w:rPr>
        <w:t>.</w:t>
      </w:r>
    </w:p>
    <w:p w14:paraId="5A5967C3" w14:textId="3572C258" w:rsidR="00C20E4B" w:rsidRDefault="00C20E4B" w:rsidP="00827AE6">
      <w:pPr>
        <w:pStyle w:val="Paragraphedeliste"/>
        <w:spacing w:line="276" w:lineRule="auto"/>
        <w:ind w:left="0"/>
        <w:jc w:val="both"/>
        <w:rPr>
          <w:rFonts w:ascii="Arial" w:hAnsi="Arial" w:cs="Arial"/>
          <w:sz w:val="20"/>
          <w:szCs w:val="20"/>
        </w:rPr>
      </w:pPr>
      <w:r>
        <w:rPr>
          <w:rFonts w:ascii="Arial" w:hAnsi="Arial" w:cs="Arial"/>
          <w:sz w:val="20"/>
          <w:szCs w:val="20"/>
        </w:rPr>
        <w:t xml:space="preserve">Les missions du titulaire du présent marché s’inscriront </w:t>
      </w:r>
      <w:r w:rsidR="00B102D7">
        <w:rPr>
          <w:rFonts w:ascii="Arial" w:hAnsi="Arial" w:cs="Arial"/>
          <w:sz w:val="20"/>
          <w:szCs w:val="20"/>
        </w:rPr>
        <w:t xml:space="preserve">principalement </w:t>
      </w:r>
      <w:r>
        <w:rPr>
          <w:rFonts w:ascii="Arial" w:hAnsi="Arial" w:cs="Arial"/>
          <w:sz w:val="20"/>
          <w:szCs w:val="20"/>
        </w:rPr>
        <w:t>dans la démarche de cette stratégie qui sera mise en place par l’Université.</w:t>
      </w:r>
    </w:p>
    <w:p w14:paraId="4168EC5B" w14:textId="0E966FCE" w:rsidR="00C20E4B" w:rsidRDefault="00C20E4B" w:rsidP="00827AE6">
      <w:pPr>
        <w:pStyle w:val="Paragraphedeliste"/>
        <w:spacing w:line="276" w:lineRule="auto"/>
        <w:ind w:left="0"/>
        <w:jc w:val="both"/>
        <w:rPr>
          <w:rFonts w:ascii="Arial" w:hAnsi="Arial" w:cs="Arial"/>
          <w:sz w:val="20"/>
          <w:szCs w:val="20"/>
        </w:rPr>
      </w:pPr>
    </w:p>
    <w:p w14:paraId="3C4BF067" w14:textId="315B6D58" w:rsidR="00B102D7" w:rsidRDefault="00B102D7" w:rsidP="00827AE6">
      <w:pPr>
        <w:pStyle w:val="Paragraphedeliste"/>
        <w:spacing w:line="276" w:lineRule="auto"/>
        <w:ind w:left="0"/>
        <w:jc w:val="both"/>
        <w:rPr>
          <w:rFonts w:ascii="Arial" w:hAnsi="Arial" w:cs="Arial"/>
          <w:sz w:val="20"/>
          <w:szCs w:val="20"/>
        </w:rPr>
      </w:pPr>
      <w:r>
        <w:rPr>
          <w:rFonts w:ascii="Arial" w:hAnsi="Arial" w:cs="Arial"/>
          <w:sz w:val="20"/>
          <w:szCs w:val="20"/>
        </w:rPr>
        <w:t>L’Université porte donc à connaissance des candidats les objectifs du SDI.</w:t>
      </w:r>
    </w:p>
    <w:p w14:paraId="1B7EA429" w14:textId="646C6E8B" w:rsidR="00B102D7" w:rsidRDefault="00B102D7" w:rsidP="00827AE6">
      <w:pPr>
        <w:pStyle w:val="Paragraphedeliste"/>
        <w:spacing w:line="276" w:lineRule="auto"/>
        <w:ind w:left="0"/>
        <w:jc w:val="both"/>
        <w:rPr>
          <w:rFonts w:ascii="Arial" w:hAnsi="Arial" w:cs="Arial"/>
          <w:sz w:val="20"/>
          <w:szCs w:val="20"/>
        </w:rPr>
      </w:pPr>
    </w:p>
    <w:p w14:paraId="6ED2C54A" w14:textId="09DE19DB" w:rsidR="00B102D7" w:rsidRDefault="00B102D7" w:rsidP="00B102D7">
      <w:pPr>
        <w:pStyle w:val="Titre3"/>
        <w:ind w:left="0" w:hanging="567"/>
        <w:rPr>
          <w:rFonts w:ascii="Arial" w:hAnsi="Arial" w:cs="Arial"/>
          <w:i w:val="0"/>
          <w:iCs/>
          <w:sz w:val="20"/>
          <w:szCs w:val="20"/>
        </w:rPr>
      </w:pPr>
      <w:r>
        <w:rPr>
          <w:rFonts w:ascii="Arial" w:hAnsi="Arial" w:cs="Arial"/>
          <w:i w:val="0"/>
          <w:iCs/>
          <w:sz w:val="20"/>
          <w:szCs w:val="20"/>
        </w:rPr>
        <w:t>L</w:t>
      </w:r>
      <w:r>
        <w:rPr>
          <w:rFonts w:ascii="Arial" w:hAnsi="Arial" w:cs="Arial"/>
          <w:i w:val="0"/>
          <w:iCs/>
          <w:sz w:val="20"/>
          <w:szCs w:val="20"/>
        </w:rPr>
        <w:t>’enseignement</w:t>
      </w:r>
    </w:p>
    <w:p w14:paraId="4C27C769" w14:textId="77777777" w:rsidR="00B102D7" w:rsidRPr="00B102D7" w:rsidRDefault="00B102D7" w:rsidP="00B102D7">
      <w:pPr>
        <w:pStyle w:val="Paragraphedeliste"/>
        <w:spacing w:line="276" w:lineRule="auto"/>
        <w:ind w:left="0"/>
        <w:jc w:val="both"/>
        <w:rPr>
          <w:rFonts w:ascii="Arial" w:hAnsi="Arial" w:cs="Arial"/>
          <w:sz w:val="20"/>
          <w:szCs w:val="20"/>
        </w:rPr>
      </w:pPr>
      <w:r w:rsidRPr="00B102D7">
        <w:rPr>
          <w:rFonts w:ascii="Arial" w:hAnsi="Arial" w:cs="Arial"/>
          <w:sz w:val="20"/>
          <w:szCs w:val="20"/>
        </w:rPr>
        <w:t>L’Université propose une offre de formation riche et variée en licence, master et doctorat tant en formation initiale que continue.</w:t>
      </w:r>
    </w:p>
    <w:p w14:paraId="2D19D419" w14:textId="2E02680C" w:rsidR="00B102D7" w:rsidRPr="00B102D7" w:rsidRDefault="00B102D7" w:rsidP="00B102D7">
      <w:pPr>
        <w:pStyle w:val="Paragraphedeliste"/>
        <w:spacing w:line="276" w:lineRule="auto"/>
        <w:ind w:left="0"/>
        <w:jc w:val="both"/>
        <w:rPr>
          <w:rFonts w:ascii="Arial" w:hAnsi="Arial" w:cs="Arial"/>
          <w:sz w:val="20"/>
          <w:szCs w:val="20"/>
        </w:rPr>
      </w:pPr>
      <w:r w:rsidRPr="00B102D7">
        <w:rPr>
          <w:rFonts w:ascii="Arial" w:hAnsi="Arial" w:cs="Arial"/>
          <w:sz w:val="20"/>
          <w:szCs w:val="20"/>
        </w:rPr>
        <w:t>L’enseignement dispensé dans la vallée</w:t>
      </w:r>
      <w:r w:rsidR="002D3BA2">
        <w:rPr>
          <w:rFonts w:ascii="Arial" w:hAnsi="Arial" w:cs="Arial"/>
          <w:sz w:val="20"/>
          <w:szCs w:val="20"/>
        </w:rPr>
        <w:t xml:space="preserve"> d’Orsay</w:t>
      </w:r>
      <w:r w:rsidRPr="00B102D7">
        <w:rPr>
          <w:rFonts w:ascii="Arial" w:hAnsi="Arial" w:cs="Arial"/>
          <w:sz w:val="20"/>
          <w:szCs w:val="20"/>
        </w:rPr>
        <w:t xml:space="preserve"> se concentre essentiellement sur le niveau licence et est traité dans le cadre du Schéma Directeur Immobilier 1er cycle. L’enseignement dispensé sur le plateau concerne le niveau master ainsi que certaines formations de 1er cycle telles que les enseignements de 2ème et 3ème année de pharmacie, l’IUT d’Orsay, Polytech Paris Saclay, certaines licences de sciences au bâtiment 640 dit PUIO (Pôle Universitaire d’Ingénierie d’Orsay). </w:t>
      </w:r>
    </w:p>
    <w:p w14:paraId="52EA8B76" w14:textId="77777777" w:rsidR="00B102D7" w:rsidRPr="00B102D7" w:rsidRDefault="00B102D7" w:rsidP="00B102D7">
      <w:pPr>
        <w:pStyle w:val="Paragraphedeliste"/>
        <w:spacing w:line="276" w:lineRule="auto"/>
        <w:ind w:left="0"/>
        <w:jc w:val="both"/>
        <w:rPr>
          <w:rFonts w:ascii="Arial" w:hAnsi="Arial" w:cs="Arial"/>
          <w:sz w:val="20"/>
          <w:szCs w:val="20"/>
        </w:rPr>
      </w:pPr>
      <w:r w:rsidRPr="00B102D7">
        <w:rPr>
          <w:rFonts w:ascii="Arial" w:hAnsi="Arial" w:cs="Arial"/>
          <w:sz w:val="20"/>
          <w:szCs w:val="20"/>
        </w:rPr>
        <w:t>La formation continue est dispensée de manière diffuse dans le campus. Des surfaces au bâtiment 210, 351 et 490 y sont dédiées.</w:t>
      </w:r>
    </w:p>
    <w:p w14:paraId="0AF5198B" w14:textId="77777777" w:rsidR="00B102D7" w:rsidRPr="00B102D7" w:rsidRDefault="00B102D7" w:rsidP="00B102D7">
      <w:pPr>
        <w:pStyle w:val="Paragraphedeliste"/>
        <w:spacing w:line="276" w:lineRule="auto"/>
        <w:ind w:left="0"/>
        <w:jc w:val="both"/>
        <w:rPr>
          <w:rFonts w:ascii="Arial" w:hAnsi="Arial" w:cs="Arial"/>
          <w:sz w:val="20"/>
          <w:szCs w:val="20"/>
        </w:rPr>
      </w:pPr>
      <w:r w:rsidRPr="00B102D7">
        <w:rPr>
          <w:rFonts w:ascii="Arial" w:hAnsi="Arial" w:cs="Arial"/>
          <w:sz w:val="20"/>
          <w:szCs w:val="20"/>
        </w:rPr>
        <w:t>Les enjeux liés au niveau Doctorat seront traités dans les thématiques Recherche et Valorisation.</w:t>
      </w:r>
    </w:p>
    <w:p w14:paraId="77E19DA5" w14:textId="77777777" w:rsidR="00B102D7" w:rsidRPr="00B102D7" w:rsidRDefault="00B102D7" w:rsidP="00B102D7">
      <w:pPr>
        <w:pStyle w:val="Paragraphedeliste"/>
        <w:spacing w:line="276" w:lineRule="auto"/>
        <w:ind w:left="0"/>
        <w:jc w:val="both"/>
        <w:rPr>
          <w:rFonts w:ascii="Arial" w:hAnsi="Arial" w:cs="Arial"/>
          <w:sz w:val="20"/>
          <w:szCs w:val="20"/>
        </w:rPr>
      </w:pPr>
      <w:r w:rsidRPr="00B102D7">
        <w:rPr>
          <w:rFonts w:ascii="Arial" w:hAnsi="Arial" w:cs="Arial"/>
          <w:sz w:val="20"/>
          <w:szCs w:val="20"/>
        </w:rPr>
        <w:t>Chacune des UFR se concentre sur un domaine d’enseignement spécifique :</w:t>
      </w:r>
    </w:p>
    <w:p w14:paraId="2569ACF8" w14:textId="697D81D3"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L‘UFR de Sciences, principalement située dans la Vallée pour le niveau licence, en Mathématiques, Physiques, Sciences de la Vie, Chimie, …</w:t>
      </w:r>
    </w:p>
    <w:p w14:paraId="621D5A78" w14:textId="51E0F1C9"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L’UFR de Sciences du Sport (également appelée Faculté des Sciences du Sport - F2S), répartie entre le campus plateau (pratique sportive) et la vallée (pratiques sportives et enseignements théoriques)</w:t>
      </w:r>
    </w:p>
    <w:p w14:paraId="1B248629" w14:textId="06494D68"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L‘UFR Droit Economie Management, également appelée Faculté Jean Monnet, est principalement située sur le campus de Sceaux et dispense également quelques enseignements de licence sur le campus d’Orsay</w:t>
      </w:r>
    </w:p>
    <w:p w14:paraId="633BA131" w14:textId="27C7AD95"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Les IUT dispensent des enseignements sur différentes thématiques et domaines, dans lesquels la pratique comprend une place importante.</w:t>
      </w:r>
    </w:p>
    <w:p w14:paraId="01A3CDE4" w14:textId="77777777"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Enseignements et départements par IUT :</w:t>
      </w:r>
    </w:p>
    <w:p w14:paraId="041E4553" w14:textId="64F41A22"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IUT d’Orsay : Chimie, mesures physiques et informatique</w:t>
      </w:r>
    </w:p>
    <w:p w14:paraId="18563C0D" w14:textId="7C50F29B"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IUT de Sceaux : Techniques de commercialisation et Gestion des Entreprises et Administrations</w:t>
      </w:r>
    </w:p>
    <w:p w14:paraId="3F4A74DB" w14:textId="43E9C9AA" w:rsidR="00B102D7" w:rsidRPr="00B102D7" w:rsidRDefault="00B102D7" w:rsidP="00041800">
      <w:pPr>
        <w:pStyle w:val="Paragraphedeliste"/>
        <w:numPr>
          <w:ilvl w:val="0"/>
          <w:numId w:val="11"/>
        </w:numPr>
        <w:spacing w:line="276" w:lineRule="auto"/>
        <w:jc w:val="both"/>
        <w:rPr>
          <w:rFonts w:ascii="Arial" w:hAnsi="Arial" w:cs="Arial"/>
          <w:sz w:val="20"/>
          <w:szCs w:val="20"/>
        </w:rPr>
      </w:pPr>
      <w:r w:rsidRPr="00B102D7">
        <w:rPr>
          <w:rFonts w:ascii="Arial" w:hAnsi="Arial" w:cs="Arial"/>
          <w:sz w:val="20"/>
          <w:szCs w:val="20"/>
        </w:rPr>
        <w:t>IUT de Cachan : Génie Électrique et Informatique Industrielle et Génie Mécanique et Productique</w:t>
      </w:r>
    </w:p>
    <w:p w14:paraId="2ED9A66F" w14:textId="2D5E5BEB" w:rsidR="00B102D7" w:rsidRDefault="00B102D7" w:rsidP="00827AE6">
      <w:pPr>
        <w:pStyle w:val="Paragraphedeliste"/>
        <w:spacing w:line="276" w:lineRule="auto"/>
        <w:ind w:left="0"/>
        <w:jc w:val="both"/>
        <w:rPr>
          <w:rFonts w:ascii="Arial" w:hAnsi="Arial" w:cs="Arial"/>
          <w:sz w:val="20"/>
          <w:szCs w:val="20"/>
        </w:rPr>
      </w:pPr>
    </w:p>
    <w:p w14:paraId="7FEBA3E6" w14:textId="73539876" w:rsidR="008563B4" w:rsidRPr="003F67D6" w:rsidRDefault="008563B4" w:rsidP="002D3BA2">
      <w:pPr>
        <w:rPr>
          <w:rFonts w:ascii="Arial" w:hAnsi="Arial" w:cs="Arial"/>
          <w:b/>
          <w:bCs/>
          <w:iCs/>
          <w:sz w:val="20"/>
          <w:szCs w:val="20"/>
          <w:u w:val="single"/>
        </w:rPr>
      </w:pPr>
      <w:r w:rsidRPr="003F67D6">
        <w:rPr>
          <w:rFonts w:ascii="Arial" w:hAnsi="Arial" w:cs="Arial"/>
          <w:b/>
          <w:bCs/>
          <w:iCs/>
          <w:sz w:val="20"/>
          <w:szCs w:val="20"/>
          <w:u w:val="single"/>
        </w:rPr>
        <w:t>SDI 1</w:t>
      </w:r>
      <w:r w:rsidRPr="003F67D6">
        <w:rPr>
          <w:rFonts w:ascii="Arial" w:hAnsi="Arial" w:cs="Arial"/>
          <w:b/>
          <w:bCs/>
          <w:iCs/>
          <w:sz w:val="20"/>
          <w:szCs w:val="20"/>
          <w:u w:val="single"/>
          <w:vertAlign w:val="superscript"/>
        </w:rPr>
        <w:t>er</w:t>
      </w:r>
      <w:r w:rsidRPr="003F67D6">
        <w:rPr>
          <w:rFonts w:ascii="Arial" w:hAnsi="Arial" w:cs="Arial"/>
          <w:b/>
          <w:bCs/>
          <w:iCs/>
          <w:sz w:val="20"/>
          <w:szCs w:val="20"/>
          <w:u w:val="single"/>
        </w:rPr>
        <w:t xml:space="preserve"> cycle et rénovation des bâtiments 360 et 362 :</w:t>
      </w:r>
    </w:p>
    <w:p w14:paraId="690CE7F7" w14:textId="77777777" w:rsidR="00031327" w:rsidRPr="008563B4" w:rsidRDefault="00031327" w:rsidP="002D3BA2">
      <w:pPr>
        <w:rPr>
          <w:rFonts w:ascii="Arial" w:hAnsi="Arial" w:cs="Arial"/>
          <w:iCs/>
          <w:sz w:val="20"/>
          <w:szCs w:val="20"/>
          <w:u w:val="single"/>
        </w:rPr>
      </w:pPr>
    </w:p>
    <w:p w14:paraId="7819DCA6" w14:textId="528CD59C" w:rsidR="002D3BA2" w:rsidRDefault="002D3BA2" w:rsidP="002D3BA2">
      <w:pPr>
        <w:rPr>
          <w:rFonts w:ascii="Arial" w:hAnsi="Arial" w:cs="Arial"/>
          <w:iCs/>
          <w:sz w:val="20"/>
          <w:szCs w:val="20"/>
        </w:rPr>
      </w:pPr>
      <w:r w:rsidRPr="002D3BA2">
        <w:rPr>
          <w:rFonts w:ascii="Arial" w:hAnsi="Arial" w:cs="Arial"/>
          <w:iCs/>
          <w:sz w:val="20"/>
          <w:szCs w:val="20"/>
        </w:rPr>
        <w:t xml:space="preserve">Un schéma directeur dédié à l’enseignement 1er cycle du campus vallée Orsay-Bures </w:t>
      </w:r>
      <w:r>
        <w:rPr>
          <w:rFonts w:ascii="Arial" w:hAnsi="Arial" w:cs="Arial"/>
          <w:iCs/>
          <w:sz w:val="20"/>
          <w:szCs w:val="20"/>
        </w:rPr>
        <w:t>a été anticipé en 2024 afin de répondre à un besoin urgent de déménagement du bâtiment 470 pour la réalisation d’une résidence étudiante par la CROUS.</w:t>
      </w:r>
    </w:p>
    <w:p w14:paraId="64217A1F" w14:textId="3C9A17EF" w:rsidR="002D3BA2" w:rsidRDefault="002D3BA2" w:rsidP="002D3BA2">
      <w:pPr>
        <w:rPr>
          <w:rFonts w:ascii="Arial" w:hAnsi="Arial" w:cs="Arial"/>
          <w:iCs/>
          <w:sz w:val="20"/>
          <w:szCs w:val="20"/>
        </w:rPr>
      </w:pPr>
      <w:r>
        <w:rPr>
          <w:rFonts w:ascii="Arial" w:hAnsi="Arial" w:cs="Arial"/>
          <w:iCs/>
          <w:sz w:val="20"/>
          <w:szCs w:val="20"/>
        </w:rPr>
        <w:t>Les locaux à déménager sont des salles de TP des départements de chimie et de biologie.</w:t>
      </w:r>
    </w:p>
    <w:p w14:paraId="7E94ED3C" w14:textId="0BBBD489" w:rsidR="002D3BA2" w:rsidRDefault="002D3BA2" w:rsidP="002D3BA2">
      <w:pPr>
        <w:rPr>
          <w:rFonts w:ascii="Arial" w:hAnsi="Arial" w:cs="Arial"/>
          <w:iCs/>
          <w:sz w:val="20"/>
          <w:szCs w:val="20"/>
        </w:rPr>
      </w:pPr>
      <w:r>
        <w:rPr>
          <w:rFonts w:ascii="Arial" w:hAnsi="Arial" w:cs="Arial"/>
          <w:iCs/>
          <w:sz w:val="20"/>
          <w:szCs w:val="20"/>
        </w:rPr>
        <w:lastRenderedPageBreak/>
        <w:t>Le SDI 1</w:t>
      </w:r>
      <w:r w:rsidRPr="002D3BA2">
        <w:rPr>
          <w:rFonts w:ascii="Arial" w:hAnsi="Arial" w:cs="Arial"/>
          <w:iCs/>
          <w:sz w:val="20"/>
          <w:szCs w:val="20"/>
          <w:vertAlign w:val="superscript"/>
        </w:rPr>
        <w:t>er</w:t>
      </w:r>
      <w:r>
        <w:rPr>
          <w:rFonts w:ascii="Arial" w:hAnsi="Arial" w:cs="Arial"/>
          <w:iCs/>
          <w:sz w:val="20"/>
          <w:szCs w:val="20"/>
        </w:rPr>
        <w:t xml:space="preserve"> cycle a permis d’objectiver l’étude de faisabilité au regard des besoins de la faculté de sciences et des opportunités dans la vallée. Les bâtiments 360 et 362, libérés par les laboratoires qui sont monté sur le plateau de Saclay, ont été désignés pour recevoir ces nouveaux usages.</w:t>
      </w:r>
    </w:p>
    <w:p w14:paraId="74AD7173" w14:textId="77777777" w:rsidR="008563B4" w:rsidRDefault="002D3BA2" w:rsidP="002D3BA2">
      <w:pPr>
        <w:rPr>
          <w:rFonts w:ascii="Arial" w:hAnsi="Arial" w:cs="Arial"/>
          <w:iCs/>
          <w:sz w:val="20"/>
          <w:szCs w:val="20"/>
        </w:rPr>
      </w:pPr>
      <w:r>
        <w:rPr>
          <w:rFonts w:ascii="Arial" w:hAnsi="Arial" w:cs="Arial"/>
          <w:iCs/>
          <w:sz w:val="20"/>
          <w:szCs w:val="20"/>
        </w:rPr>
        <w:t xml:space="preserve">Cette opération </w:t>
      </w:r>
      <w:r w:rsidR="008563B4">
        <w:rPr>
          <w:rFonts w:ascii="Arial" w:hAnsi="Arial" w:cs="Arial"/>
          <w:iCs/>
          <w:sz w:val="20"/>
          <w:szCs w:val="20"/>
        </w:rPr>
        <w:t>dont le budget est de 22M€ TDC est financée par le CPER 21/27 et un reliquat PIA.</w:t>
      </w:r>
    </w:p>
    <w:p w14:paraId="3FD539DA" w14:textId="79B37571" w:rsidR="002D3BA2" w:rsidRPr="002D3BA2" w:rsidRDefault="008563B4" w:rsidP="002D3BA2">
      <w:pPr>
        <w:rPr>
          <w:rFonts w:ascii="Arial" w:hAnsi="Arial" w:cs="Arial"/>
          <w:iCs/>
          <w:sz w:val="20"/>
          <w:szCs w:val="20"/>
        </w:rPr>
      </w:pPr>
      <w:r>
        <w:rPr>
          <w:rFonts w:ascii="Arial" w:hAnsi="Arial" w:cs="Arial"/>
          <w:iCs/>
          <w:sz w:val="20"/>
          <w:szCs w:val="20"/>
        </w:rPr>
        <w:t xml:space="preserve"> </w:t>
      </w:r>
    </w:p>
    <w:p w14:paraId="7BF789CD" w14:textId="287FFBD9" w:rsidR="008563B4" w:rsidRDefault="008563B4" w:rsidP="008563B4">
      <w:pPr>
        <w:pStyle w:val="Titre3"/>
        <w:ind w:left="0" w:hanging="567"/>
        <w:rPr>
          <w:rFonts w:ascii="Arial" w:hAnsi="Arial" w:cs="Arial"/>
          <w:i w:val="0"/>
          <w:iCs/>
          <w:sz w:val="20"/>
          <w:szCs w:val="20"/>
        </w:rPr>
      </w:pPr>
      <w:bookmarkStart w:id="53" w:name="_Hlk193098666"/>
      <w:r>
        <w:rPr>
          <w:rFonts w:ascii="Arial" w:hAnsi="Arial" w:cs="Arial"/>
          <w:i w:val="0"/>
          <w:iCs/>
          <w:sz w:val="20"/>
          <w:szCs w:val="20"/>
        </w:rPr>
        <w:t>L</w:t>
      </w:r>
      <w:r>
        <w:rPr>
          <w:rFonts w:ascii="Arial" w:hAnsi="Arial" w:cs="Arial"/>
          <w:i w:val="0"/>
          <w:iCs/>
          <w:sz w:val="20"/>
          <w:szCs w:val="20"/>
        </w:rPr>
        <w:t>a recherche</w:t>
      </w:r>
    </w:p>
    <w:bookmarkEnd w:id="53"/>
    <w:p w14:paraId="018FC705" w14:textId="77777777" w:rsidR="008563B4" w:rsidRPr="008563B4" w:rsidRDefault="008563B4" w:rsidP="008563B4">
      <w:pPr>
        <w:pStyle w:val="Paragraphedeliste"/>
        <w:spacing w:line="276" w:lineRule="auto"/>
        <w:ind w:left="0"/>
        <w:jc w:val="both"/>
        <w:rPr>
          <w:rFonts w:ascii="Arial" w:hAnsi="Arial" w:cs="Arial"/>
          <w:iCs/>
          <w:sz w:val="20"/>
          <w:szCs w:val="20"/>
          <w:u w:val="single"/>
        </w:rPr>
      </w:pPr>
      <w:r w:rsidRPr="008563B4">
        <w:rPr>
          <w:rFonts w:ascii="Arial" w:hAnsi="Arial" w:cs="Arial"/>
          <w:iCs/>
          <w:sz w:val="20"/>
          <w:szCs w:val="20"/>
          <w:u w:val="single"/>
        </w:rPr>
        <w:t>Les laboratoires de recherche</w:t>
      </w:r>
    </w:p>
    <w:p w14:paraId="03D2B5E7"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45992367"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L’Université Paris-Saclay compte environ 90 unités de recherche (UMR/UMS comprises) qui couvrent l’essentiel des disciplines des UFR. Le périmètre employeur en compte environ 40.</w:t>
      </w:r>
    </w:p>
    <w:p w14:paraId="1EF00C81"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7A1C8288"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Suite notamment à la construction du bâtiment Henri Moissan et de l’IDEEV sur le campus Plateau, achevés en 2022, et au déménagement d’I2BC, plusieurs laboratoires ont libéré les locaux qu’ils occupaient précédemment dans la Vallée. Les surfaces libérées sont significatives dans les bâtiments 220, 360, 362, 400, 410, 420, 430, 440, 460/470.</w:t>
      </w:r>
    </w:p>
    <w:p w14:paraId="32C89B29"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Des projets ciblent déjà plusieurs de ces bâtiments :</w:t>
      </w:r>
    </w:p>
    <w:p w14:paraId="54F54232" w14:textId="7DD1003E"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Un AMI est en cours pour transformer en résidence universitaire les bâtiments 400, 410, 420 et leurs annexes</w:t>
      </w:r>
    </w:p>
    <w:p w14:paraId="5FF94AE2" w14:textId="58C3A2F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Le 470 a été cédé au CROUS pour être transformé en résidence universitaire et un projet identique est prévu pour le 460 à l’horizon 2028</w:t>
      </w:r>
    </w:p>
    <w:p w14:paraId="79BAAE51" w14:textId="65559EC3"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Le bâtiment 440 serait voué (au moins en partie) à être tourné vers une activité de recherche avec l’ouverture de surfaces dédiées aux </w:t>
      </w:r>
      <w:proofErr w:type="spellStart"/>
      <w:r w:rsidRPr="008563B4">
        <w:rPr>
          <w:rFonts w:ascii="Arial" w:hAnsi="Arial" w:cs="Arial"/>
          <w:iCs/>
          <w:sz w:val="20"/>
          <w:szCs w:val="20"/>
        </w:rPr>
        <w:t>starts-up</w:t>
      </w:r>
      <w:proofErr w:type="spellEnd"/>
    </w:p>
    <w:p w14:paraId="09BE610D" w14:textId="46B335AF"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Les bâtiments 360 et 362, à proximité du pôle licence des bâtiments 332/333 et 336, sont ciblés pour de l’enseignement et des espaces de travail et/ou de vie pour les étudiants</w:t>
      </w:r>
      <w:r>
        <w:rPr>
          <w:rFonts w:ascii="Arial" w:hAnsi="Arial" w:cs="Arial"/>
          <w:iCs/>
          <w:sz w:val="20"/>
          <w:szCs w:val="20"/>
        </w:rPr>
        <w:t xml:space="preserve"> (cf. chapitre ci-dessus)</w:t>
      </w:r>
      <w:r w:rsidRPr="008563B4">
        <w:rPr>
          <w:rFonts w:ascii="Arial" w:hAnsi="Arial" w:cs="Arial"/>
          <w:iCs/>
          <w:sz w:val="20"/>
          <w:szCs w:val="20"/>
        </w:rPr>
        <w:t>.</w:t>
      </w:r>
    </w:p>
    <w:p w14:paraId="679DDA81"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05A2B989" w14:textId="77777777" w:rsidR="008563B4" w:rsidRPr="008563B4" w:rsidRDefault="008563B4" w:rsidP="008563B4">
      <w:pPr>
        <w:pStyle w:val="Paragraphedeliste"/>
        <w:spacing w:line="276" w:lineRule="auto"/>
        <w:ind w:left="0"/>
        <w:jc w:val="both"/>
        <w:rPr>
          <w:rFonts w:ascii="Arial" w:hAnsi="Arial" w:cs="Arial"/>
          <w:iCs/>
          <w:sz w:val="20"/>
          <w:szCs w:val="20"/>
          <w:u w:val="single"/>
        </w:rPr>
      </w:pPr>
      <w:r w:rsidRPr="008563B4">
        <w:rPr>
          <w:rFonts w:ascii="Arial" w:hAnsi="Arial" w:cs="Arial"/>
          <w:iCs/>
          <w:sz w:val="20"/>
          <w:szCs w:val="20"/>
          <w:u w:val="single"/>
        </w:rPr>
        <w:t>Focus sur le laboratoire IJCLAB</w:t>
      </w:r>
    </w:p>
    <w:p w14:paraId="4EB46E12"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7AEF964E"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Le laboratoire </w:t>
      </w:r>
      <w:proofErr w:type="spellStart"/>
      <w:r w:rsidRPr="008563B4">
        <w:rPr>
          <w:rFonts w:ascii="Arial" w:hAnsi="Arial" w:cs="Arial"/>
          <w:iCs/>
          <w:sz w:val="20"/>
          <w:szCs w:val="20"/>
        </w:rPr>
        <w:t>IJCLab</w:t>
      </w:r>
      <w:proofErr w:type="spellEnd"/>
      <w:r w:rsidRPr="008563B4">
        <w:rPr>
          <w:rFonts w:ascii="Arial" w:hAnsi="Arial" w:cs="Arial"/>
          <w:iCs/>
          <w:sz w:val="20"/>
          <w:szCs w:val="20"/>
        </w:rPr>
        <w:t xml:space="preserve"> (Irène Joliot Curie Laboratoire) est une Unité Mixte de Recherche du CNRS, de l’Université Paris Saclay et de l’Université Paris-Cité, située sur le campus Bures-Orsay-Gif de l’Université de Paris Saclay. Ce laboratoire est issu de la fusion de cinq laboratoires (CSNSM, IMNC, IPNO, LAL et LPT) géographiquement et thématiquement proches les uns des autres sur le campus d’Orsay partageant une histoire commune, liée à la création puis au développement du Campus.</w:t>
      </w:r>
    </w:p>
    <w:p w14:paraId="54663282"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Aujourd’hui, </w:t>
      </w:r>
      <w:proofErr w:type="spellStart"/>
      <w:r w:rsidRPr="008563B4">
        <w:rPr>
          <w:rFonts w:ascii="Arial" w:hAnsi="Arial" w:cs="Arial"/>
          <w:iCs/>
          <w:sz w:val="20"/>
          <w:szCs w:val="20"/>
        </w:rPr>
        <w:t>IJCLab</w:t>
      </w:r>
      <w:proofErr w:type="spellEnd"/>
      <w:r w:rsidRPr="008563B4">
        <w:rPr>
          <w:rFonts w:ascii="Arial" w:hAnsi="Arial" w:cs="Arial"/>
          <w:iCs/>
          <w:sz w:val="20"/>
          <w:szCs w:val="20"/>
        </w:rPr>
        <w:t xml:space="preserve"> est l’un des plus grands laboratoires de physique au niveau mondial. Selon le classement de Shanghai 2022, L’Université Paris-Saclay est classée 9ème en physique mondialement – et 1ère au niveau européen.</w:t>
      </w:r>
    </w:p>
    <w:p w14:paraId="6FAC8EF3" w14:textId="2F68968F" w:rsidR="008563B4" w:rsidRPr="008563B4" w:rsidRDefault="008563B4" w:rsidP="008563B4">
      <w:pPr>
        <w:pStyle w:val="Paragraphedeliste"/>
        <w:spacing w:line="276" w:lineRule="auto"/>
        <w:ind w:left="0"/>
        <w:jc w:val="center"/>
        <w:rPr>
          <w:rFonts w:ascii="Arial" w:hAnsi="Arial" w:cs="Arial"/>
          <w:iCs/>
          <w:sz w:val="20"/>
          <w:szCs w:val="20"/>
        </w:rPr>
      </w:pPr>
      <w:r>
        <w:rPr>
          <w:rFonts w:ascii="Arial" w:hAnsi="Arial" w:cs="Arial"/>
          <w:iCs/>
          <w:noProof/>
          <w:sz w:val="20"/>
          <w:szCs w:val="20"/>
        </w:rPr>
        <w:lastRenderedPageBreak/>
        <w:drawing>
          <wp:inline distT="0" distB="0" distL="0" distR="0" wp14:anchorId="1E746DC4" wp14:editId="4B6218D0">
            <wp:extent cx="4408098" cy="2914692"/>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26826" cy="2927075"/>
                    </a:xfrm>
                    <a:prstGeom prst="rect">
                      <a:avLst/>
                    </a:prstGeom>
                    <a:noFill/>
                  </pic:spPr>
                </pic:pic>
              </a:graphicData>
            </a:graphic>
          </wp:inline>
        </w:drawing>
      </w:r>
    </w:p>
    <w:p w14:paraId="49F4E56E"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53128F31"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 </w:t>
      </w:r>
    </w:p>
    <w:p w14:paraId="0A0C29AA"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0FA71097"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17341C51" w14:textId="77777777" w:rsidR="008563B4" w:rsidRPr="008563B4" w:rsidRDefault="008563B4" w:rsidP="008563B4">
      <w:pPr>
        <w:pStyle w:val="Paragraphedeliste"/>
        <w:spacing w:line="276" w:lineRule="auto"/>
        <w:ind w:left="0"/>
        <w:jc w:val="both"/>
        <w:rPr>
          <w:rFonts w:ascii="Arial" w:hAnsi="Arial" w:cs="Arial"/>
          <w:iCs/>
          <w:sz w:val="20"/>
          <w:szCs w:val="20"/>
        </w:rPr>
      </w:pPr>
      <w:proofErr w:type="spellStart"/>
      <w:r w:rsidRPr="008563B4">
        <w:rPr>
          <w:rFonts w:ascii="Arial" w:hAnsi="Arial" w:cs="Arial"/>
          <w:iCs/>
          <w:sz w:val="20"/>
          <w:szCs w:val="20"/>
        </w:rPr>
        <w:t>IJCLab</w:t>
      </w:r>
      <w:proofErr w:type="spellEnd"/>
      <w:r w:rsidRPr="008563B4">
        <w:rPr>
          <w:rFonts w:ascii="Arial" w:hAnsi="Arial" w:cs="Arial"/>
          <w:iCs/>
          <w:sz w:val="20"/>
          <w:szCs w:val="20"/>
        </w:rPr>
        <w:t>, qui rassemble 728 membres, couvre les activités présentes auparavant dans ces cinq laboratoires. L’identité d’</w:t>
      </w:r>
      <w:proofErr w:type="spellStart"/>
      <w:r w:rsidRPr="008563B4">
        <w:rPr>
          <w:rFonts w:ascii="Arial" w:hAnsi="Arial" w:cs="Arial"/>
          <w:iCs/>
          <w:sz w:val="20"/>
          <w:szCs w:val="20"/>
        </w:rPr>
        <w:t>IJCLab</w:t>
      </w:r>
      <w:proofErr w:type="spellEnd"/>
      <w:r w:rsidRPr="008563B4">
        <w:rPr>
          <w:rFonts w:ascii="Arial" w:hAnsi="Arial" w:cs="Arial"/>
          <w:iCs/>
          <w:sz w:val="20"/>
          <w:szCs w:val="20"/>
        </w:rPr>
        <w:t xml:space="preserve"> est centrée sur le domaine de « la physique des deux infinis » et de leurs applications, avec toute la richesse des thématiques qui constitue cette physique. Cela se traduit par la présence de pôles historiques forts, de pôles liés à des thématiques émergentes et d’activités aux interfaces.</w:t>
      </w:r>
    </w:p>
    <w:p w14:paraId="452F1063"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Les activités scientifiques sont structurées en 7 pôles scientifiques :</w:t>
      </w:r>
    </w:p>
    <w:p w14:paraId="39949250" w14:textId="77777777" w:rsidR="008563B4" w:rsidRPr="008563B4" w:rsidRDefault="008563B4" w:rsidP="008563B4">
      <w:pPr>
        <w:pStyle w:val="Paragraphedeliste"/>
        <w:spacing w:line="276" w:lineRule="auto"/>
        <w:ind w:left="708"/>
        <w:jc w:val="both"/>
        <w:rPr>
          <w:rFonts w:ascii="Arial" w:hAnsi="Arial" w:cs="Arial"/>
          <w:iCs/>
          <w:sz w:val="20"/>
          <w:szCs w:val="20"/>
        </w:rPr>
      </w:pPr>
      <w:r w:rsidRPr="008563B4">
        <w:rPr>
          <w:rFonts w:ascii="Arial" w:hAnsi="Arial" w:cs="Arial"/>
          <w:iCs/>
          <w:sz w:val="20"/>
          <w:szCs w:val="20"/>
        </w:rPr>
        <w:t xml:space="preserve">1- Astroparticules, Astrophysique et Cosmologie, </w:t>
      </w:r>
    </w:p>
    <w:p w14:paraId="13BDD391" w14:textId="77777777" w:rsidR="008563B4" w:rsidRPr="008563B4" w:rsidRDefault="008563B4" w:rsidP="008563B4">
      <w:pPr>
        <w:pStyle w:val="Paragraphedeliste"/>
        <w:spacing w:line="276" w:lineRule="auto"/>
        <w:ind w:left="708"/>
        <w:jc w:val="both"/>
        <w:rPr>
          <w:rFonts w:ascii="Arial" w:hAnsi="Arial" w:cs="Arial"/>
          <w:iCs/>
          <w:sz w:val="20"/>
          <w:szCs w:val="20"/>
        </w:rPr>
      </w:pPr>
      <w:r w:rsidRPr="008563B4">
        <w:rPr>
          <w:rFonts w:ascii="Arial" w:hAnsi="Arial" w:cs="Arial"/>
          <w:iCs/>
          <w:sz w:val="20"/>
          <w:szCs w:val="20"/>
        </w:rPr>
        <w:t xml:space="preserve">2- Physique des Accélérateurs, </w:t>
      </w:r>
    </w:p>
    <w:p w14:paraId="746A269B" w14:textId="77777777" w:rsidR="008563B4" w:rsidRPr="008563B4" w:rsidRDefault="008563B4" w:rsidP="008563B4">
      <w:pPr>
        <w:pStyle w:val="Paragraphedeliste"/>
        <w:spacing w:line="276" w:lineRule="auto"/>
        <w:ind w:left="708"/>
        <w:jc w:val="both"/>
        <w:rPr>
          <w:rFonts w:ascii="Arial" w:hAnsi="Arial" w:cs="Arial"/>
          <w:iCs/>
          <w:sz w:val="20"/>
          <w:szCs w:val="20"/>
        </w:rPr>
      </w:pPr>
      <w:r w:rsidRPr="008563B4">
        <w:rPr>
          <w:rFonts w:ascii="Arial" w:hAnsi="Arial" w:cs="Arial"/>
          <w:iCs/>
          <w:sz w:val="20"/>
          <w:szCs w:val="20"/>
        </w:rPr>
        <w:t xml:space="preserve">3- Physique des Hautes Énergies, </w:t>
      </w:r>
    </w:p>
    <w:p w14:paraId="27580CB5" w14:textId="77777777" w:rsidR="008563B4" w:rsidRPr="008563B4" w:rsidRDefault="008563B4" w:rsidP="008563B4">
      <w:pPr>
        <w:pStyle w:val="Paragraphedeliste"/>
        <w:spacing w:line="276" w:lineRule="auto"/>
        <w:ind w:left="708"/>
        <w:jc w:val="both"/>
        <w:rPr>
          <w:rFonts w:ascii="Arial" w:hAnsi="Arial" w:cs="Arial"/>
          <w:iCs/>
          <w:sz w:val="20"/>
          <w:szCs w:val="20"/>
        </w:rPr>
      </w:pPr>
      <w:r w:rsidRPr="008563B4">
        <w:rPr>
          <w:rFonts w:ascii="Arial" w:hAnsi="Arial" w:cs="Arial"/>
          <w:iCs/>
          <w:sz w:val="20"/>
          <w:szCs w:val="20"/>
        </w:rPr>
        <w:t xml:space="preserve">4- Physique Nucléaire, </w:t>
      </w:r>
    </w:p>
    <w:p w14:paraId="77EC5417" w14:textId="77777777" w:rsidR="008563B4" w:rsidRPr="008563B4" w:rsidRDefault="008563B4" w:rsidP="008563B4">
      <w:pPr>
        <w:pStyle w:val="Paragraphedeliste"/>
        <w:spacing w:line="276" w:lineRule="auto"/>
        <w:ind w:left="708"/>
        <w:jc w:val="both"/>
        <w:rPr>
          <w:rFonts w:ascii="Arial" w:hAnsi="Arial" w:cs="Arial"/>
          <w:iCs/>
          <w:sz w:val="20"/>
          <w:szCs w:val="20"/>
        </w:rPr>
      </w:pPr>
      <w:r w:rsidRPr="008563B4">
        <w:rPr>
          <w:rFonts w:ascii="Arial" w:hAnsi="Arial" w:cs="Arial"/>
          <w:iCs/>
          <w:sz w:val="20"/>
          <w:szCs w:val="20"/>
        </w:rPr>
        <w:t xml:space="preserve">5- Physique Théorique, </w:t>
      </w:r>
    </w:p>
    <w:p w14:paraId="4062FC7A" w14:textId="77777777" w:rsidR="008563B4" w:rsidRPr="008563B4" w:rsidRDefault="008563B4" w:rsidP="008563B4">
      <w:pPr>
        <w:pStyle w:val="Paragraphedeliste"/>
        <w:spacing w:line="276" w:lineRule="auto"/>
        <w:ind w:left="708"/>
        <w:jc w:val="both"/>
        <w:rPr>
          <w:rFonts w:ascii="Arial" w:hAnsi="Arial" w:cs="Arial"/>
          <w:iCs/>
          <w:sz w:val="20"/>
          <w:szCs w:val="20"/>
        </w:rPr>
      </w:pPr>
      <w:r w:rsidRPr="008563B4">
        <w:rPr>
          <w:rFonts w:ascii="Arial" w:hAnsi="Arial" w:cs="Arial"/>
          <w:iCs/>
          <w:sz w:val="20"/>
          <w:szCs w:val="20"/>
        </w:rPr>
        <w:t>6- Energie et environnement,</w:t>
      </w:r>
    </w:p>
    <w:p w14:paraId="307CB38E" w14:textId="77777777" w:rsidR="008563B4" w:rsidRPr="008563B4" w:rsidRDefault="008563B4" w:rsidP="008563B4">
      <w:pPr>
        <w:pStyle w:val="Paragraphedeliste"/>
        <w:spacing w:line="276" w:lineRule="auto"/>
        <w:ind w:left="708"/>
        <w:jc w:val="both"/>
        <w:rPr>
          <w:rFonts w:ascii="Arial" w:hAnsi="Arial" w:cs="Arial"/>
          <w:iCs/>
          <w:sz w:val="20"/>
          <w:szCs w:val="20"/>
        </w:rPr>
      </w:pPr>
      <w:r w:rsidRPr="008563B4">
        <w:rPr>
          <w:rFonts w:ascii="Arial" w:hAnsi="Arial" w:cs="Arial"/>
          <w:iCs/>
          <w:sz w:val="20"/>
          <w:szCs w:val="20"/>
        </w:rPr>
        <w:t>7- Santé.</w:t>
      </w:r>
    </w:p>
    <w:p w14:paraId="3B012341" w14:textId="77777777" w:rsidR="008563B4" w:rsidRPr="008563B4" w:rsidRDefault="008563B4" w:rsidP="008563B4">
      <w:pPr>
        <w:pStyle w:val="Paragraphedeliste"/>
        <w:spacing w:line="276" w:lineRule="auto"/>
        <w:ind w:left="0"/>
        <w:jc w:val="both"/>
        <w:rPr>
          <w:rFonts w:ascii="Arial" w:hAnsi="Arial" w:cs="Arial"/>
          <w:iCs/>
          <w:sz w:val="20"/>
          <w:szCs w:val="20"/>
        </w:rPr>
      </w:pPr>
      <w:proofErr w:type="spellStart"/>
      <w:r w:rsidRPr="008563B4">
        <w:rPr>
          <w:rFonts w:ascii="Arial" w:hAnsi="Arial" w:cs="Arial"/>
          <w:iCs/>
          <w:sz w:val="20"/>
          <w:szCs w:val="20"/>
        </w:rPr>
        <w:t>IJCLab</w:t>
      </w:r>
      <w:proofErr w:type="spellEnd"/>
      <w:r w:rsidRPr="008563B4">
        <w:rPr>
          <w:rFonts w:ascii="Arial" w:hAnsi="Arial" w:cs="Arial"/>
          <w:iCs/>
          <w:sz w:val="20"/>
          <w:szCs w:val="20"/>
        </w:rPr>
        <w:t xml:space="preserve"> dispose d’un vaste ensemble d’infrastructures de recherche et technologiques (Andromède, </w:t>
      </w:r>
      <w:proofErr w:type="spellStart"/>
      <w:r w:rsidRPr="008563B4">
        <w:rPr>
          <w:rFonts w:ascii="Arial" w:hAnsi="Arial" w:cs="Arial"/>
          <w:iCs/>
          <w:sz w:val="20"/>
          <w:szCs w:val="20"/>
        </w:rPr>
        <w:t>Alot</w:t>
      </w:r>
      <w:proofErr w:type="spellEnd"/>
      <w:r w:rsidRPr="008563B4">
        <w:rPr>
          <w:rFonts w:ascii="Arial" w:hAnsi="Arial" w:cs="Arial"/>
          <w:iCs/>
          <w:sz w:val="20"/>
          <w:szCs w:val="20"/>
        </w:rPr>
        <w:t xml:space="preserve">, </w:t>
      </w:r>
      <w:proofErr w:type="spellStart"/>
      <w:r w:rsidRPr="008563B4">
        <w:rPr>
          <w:rFonts w:ascii="Arial" w:hAnsi="Arial" w:cs="Arial"/>
          <w:iCs/>
          <w:sz w:val="20"/>
          <w:szCs w:val="20"/>
        </w:rPr>
        <w:t>Laserix</w:t>
      </w:r>
      <w:proofErr w:type="spellEnd"/>
      <w:r w:rsidRPr="008563B4">
        <w:rPr>
          <w:rFonts w:ascii="Arial" w:hAnsi="Arial" w:cs="Arial"/>
          <w:iCs/>
          <w:sz w:val="20"/>
          <w:szCs w:val="20"/>
        </w:rPr>
        <w:t xml:space="preserve">, Mosaic, </w:t>
      </w:r>
      <w:proofErr w:type="spellStart"/>
      <w:r w:rsidRPr="008563B4">
        <w:rPr>
          <w:rFonts w:ascii="Arial" w:hAnsi="Arial" w:cs="Arial"/>
          <w:iCs/>
          <w:sz w:val="20"/>
          <w:szCs w:val="20"/>
        </w:rPr>
        <w:t>Supratech</w:t>
      </w:r>
      <w:proofErr w:type="spellEnd"/>
      <w:r w:rsidRPr="008563B4">
        <w:rPr>
          <w:rFonts w:ascii="Arial" w:hAnsi="Arial" w:cs="Arial"/>
          <w:iCs/>
          <w:sz w:val="20"/>
          <w:szCs w:val="20"/>
        </w:rPr>
        <w:t>). Ces plateformes, ouvertes à de nombreuses disciplines scientifiques, contribuent au rayonnement d’</w:t>
      </w:r>
      <w:proofErr w:type="spellStart"/>
      <w:r w:rsidRPr="008563B4">
        <w:rPr>
          <w:rFonts w:ascii="Arial" w:hAnsi="Arial" w:cs="Arial"/>
          <w:iCs/>
          <w:sz w:val="20"/>
          <w:szCs w:val="20"/>
        </w:rPr>
        <w:t>IJCLab</w:t>
      </w:r>
      <w:proofErr w:type="spellEnd"/>
      <w:r w:rsidRPr="008563B4">
        <w:rPr>
          <w:rFonts w:ascii="Arial" w:hAnsi="Arial" w:cs="Arial"/>
          <w:iCs/>
          <w:sz w:val="20"/>
          <w:szCs w:val="20"/>
        </w:rPr>
        <w:t xml:space="preserve"> et à la qualité de sa recherche.</w:t>
      </w:r>
    </w:p>
    <w:p w14:paraId="35B25832"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Des services administratifs, supports et transverses soutiennent l’activité première de recherche du laboratoire.</w:t>
      </w:r>
    </w:p>
    <w:p w14:paraId="15EE3901"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6F0D8FBC"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Ce laboratoire a la capacité, la vocation et l’ambition d’avoir un impact mondial fort sur un large éventail de domaines scientifiques et techniques, en étant le moteur de grands projets phares au niveau national et international. Il encourage et aide également au soutien de projets à des échelles plus locales et des cycles plus rapides, susceptibles d’apparaître en fonction de l’actualité scientifique et/ou des innovations techniques.</w:t>
      </w:r>
    </w:p>
    <w:p w14:paraId="76501E39"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Le laboratoire </w:t>
      </w:r>
      <w:proofErr w:type="spellStart"/>
      <w:r w:rsidRPr="008563B4">
        <w:rPr>
          <w:rFonts w:ascii="Arial" w:hAnsi="Arial" w:cs="Arial"/>
          <w:iCs/>
          <w:sz w:val="20"/>
          <w:szCs w:val="20"/>
        </w:rPr>
        <w:t>IJCLab</w:t>
      </w:r>
      <w:proofErr w:type="spellEnd"/>
      <w:r w:rsidRPr="008563B4">
        <w:rPr>
          <w:rFonts w:ascii="Arial" w:hAnsi="Arial" w:cs="Arial"/>
          <w:iCs/>
          <w:sz w:val="20"/>
          <w:szCs w:val="20"/>
        </w:rPr>
        <w:t>, implanté sur une vingtaine de bâtiments de la Vallée d’Orsay (100, 102, 103, 104, 105, 106, 108, 109, 200, 201, 202, 203, 204, 205, 206, 207A, 208, 209A, 210), sera un acteur majeur du schéma directeur.</w:t>
      </w:r>
    </w:p>
    <w:p w14:paraId="7AA46584"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0FD7800D"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Tous les bâtiments sont affectés à l’Université exceptés les bâtiments 104 Nord, 108, 109 et l’aile du hall </w:t>
      </w:r>
      <w:proofErr w:type="spellStart"/>
      <w:r w:rsidRPr="008563B4">
        <w:rPr>
          <w:rFonts w:ascii="Arial" w:hAnsi="Arial" w:cs="Arial"/>
          <w:iCs/>
          <w:sz w:val="20"/>
          <w:szCs w:val="20"/>
        </w:rPr>
        <w:t>Laguarrigue</w:t>
      </w:r>
      <w:proofErr w:type="spellEnd"/>
      <w:r w:rsidRPr="008563B4">
        <w:rPr>
          <w:rFonts w:ascii="Arial" w:hAnsi="Arial" w:cs="Arial"/>
          <w:iCs/>
          <w:sz w:val="20"/>
          <w:szCs w:val="20"/>
        </w:rPr>
        <w:t xml:space="preserve"> du bâtiment 208, qui sont affectés au CNRS.</w:t>
      </w:r>
    </w:p>
    <w:p w14:paraId="59583961"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lastRenderedPageBreak/>
        <w:t xml:space="preserve">La maintenance courante des bâtiments affectés à l’Université et occupés par le CNRS est assurée par le DR4 (Délégation Régionale du CNRS) et des entreprises en contrat avec le laboratoire. Le gros entretien de ces bâtiments est assuré par le STIL (Service Technique et Logistique de l’Université). </w:t>
      </w:r>
    </w:p>
    <w:p w14:paraId="289E2318" w14:textId="77777777" w:rsidR="008563B4" w:rsidRPr="008563B4" w:rsidRDefault="008563B4" w:rsidP="008563B4">
      <w:pPr>
        <w:pStyle w:val="Paragraphedeliste"/>
        <w:spacing w:line="276" w:lineRule="auto"/>
        <w:ind w:left="0"/>
        <w:jc w:val="both"/>
        <w:rPr>
          <w:rFonts w:ascii="Arial" w:hAnsi="Arial" w:cs="Arial"/>
          <w:iCs/>
          <w:sz w:val="20"/>
          <w:szCs w:val="20"/>
        </w:rPr>
      </w:pPr>
    </w:p>
    <w:p w14:paraId="434C1A91" w14:textId="5C7FCDAE" w:rsidR="00031327" w:rsidRPr="003F67D6" w:rsidRDefault="00031327" w:rsidP="008563B4">
      <w:pPr>
        <w:pStyle w:val="Paragraphedeliste"/>
        <w:spacing w:line="276" w:lineRule="auto"/>
        <w:ind w:left="0"/>
        <w:jc w:val="both"/>
        <w:rPr>
          <w:rFonts w:ascii="Arial" w:hAnsi="Arial" w:cs="Arial"/>
          <w:b/>
          <w:bCs/>
          <w:iCs/>
          <w:sz w:val="20"/>
          <w:szCs w:val="20"/>
          <w:u w:val="single"/>
        </w:rPr>
      </w:pPr>
      <w:r w:rsidRPr="003F67D6">
        <w:rPr>
          <w:rFonts w:ascii="Arial" w:hAnsi="Arial" w:cs="Arial"/>
          <w:b/>
          <w:bCs/>
          <w:iCs/>
          <w:sz w:val="20"/>
          <w:szCs w:val="20"/>
          <w:u w:val="single"/>
        </w:rPr>
        <w:t>Le Schéma Directeur Immobilier et la rénovation d’espaces tertiaires :</w:t>
      </w:r>
    </w:p>
    <w:p w14:paraId="55B515ED" w14:textId="2F2BEDBC"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La libération d’espaces de laboratoires dans la vallée est une opportunité pour repenser l’organisation des espaces de travail tertiaires ou expérimentaux en créant des regroupements cohérents tout en optimisant l’occupation de l’espace, aujourd’hui inégalement exploité. Cela permettra d’améliorer les conditions d’accueil des personnels, de faciliter les flux, d’occuper au mieux les surfaces en fonction des typologies existantes, d’optimiser les dépenses en coût global.</w:t>
      </w:r>
    </w:p>
    <w:p w14:paraId="1F170682" w14:textId="5B1B82A4"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La recherche d’optimisation de l’occupation de son patrimoine est une opportunité pour l’Université de repenser les espaces de travail de ses laboratoires, et en particulier ceux d’</w:t>
      </w:r>
      <w:proofErr w:type="spellStart"/>
      <w:r w:rsidRPr="008563B4">
        <w:rPr>
          <w:rFonts w:ascii="Arial" w:hAnsi="Arial" w:cs="Arial"/>
          <w:iCs/>
          <w:sz w:val="20"/>
          <w:szCs w:val="20"/>
        </w:rPr>
        <w:t>IJCLab</w:t>
      </w:r>
      <w:proofErr w:type="spellEnd"/>
      <w:r w:rsidRPr="008563B4">
        <w:rPr>
          <w:rFonts w:ascii="Arial" w:hAnsi="Arial" w:cs="Arial"/>
          <w:iCs/>
          <w:sz w:val="20"/>
          <w:szCs w:val="20"/>
        </w:rPr>
        <w:t xml:space="preserve">, pour lesquels des financements dans le cadre du CPER 2021-2027 ont été obtenus à hauteur de </w:t>
      </w:r>
      <w:commentRangeStart w:id="54"/>
      <w:r w:rsidRPr="008563B4">
        <w:rPr>
          <w:rFonts w:ascii="Arial" w:hAnsi="Arial" w:cs="Arial"/>
          <w:iCs/>
          <w:sz w:val="20"/>
          <w:szCs w:val="20"/>
        </w:rPr>
        <w:t>7,1M€</w:t>
      </w:r>
      <w:r w:rsidR="00031327">
        <w:rPr>
          <w:rFonts w:ascii="Arial" w:hAnsi="Arial" w:cs="Arial"/>
          <w:iCs/>
          <w:sz w:val="20"/>
          <w:szCs w:val="20"/>
        </w:rPr>
        <w:t xml:space="preserve"> TDC</w:t>
      </w:r>
      <w:r w:rsidRPr="008563B4">
        <w:rPr>
          <w:rFonts w:ascii="Arial" w:hAnsi="Arial" w:cs="Arial"/>
          <w:iCs/>
          <w:sz w:val="20"/>
          <w:szCs w:val="20"/>
        </w:rPr>
        <w:t xml:space="preserve">. </w:t>
      </w:r>
      <w:commentRangeEnd w:id="54"/>
      <w:r w:rsidR="00031327">
        <w:rPr>
          <w:rStyle w:val="Marquedecommentaire"/>
        </w:rPr>
        <w:commentReference w:id="54"/>
      </w:r>
    </w:p>
    <w:p w14:paraId="516161CC"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L’objectif est d’améliorer les conditions d’accueil de personnels dans la vallée et répondre à des nouveaux modes de travail favorisant la collaboration et le rapprochement d’unités travaillant sur des sujets connexes.</w:t>
      </w:r>
    </w:p>
    <w:p w14:paraId="1FF1AE45"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Une première étude des besoins et de faisabilité a été effectuée en 2022 sur les bâtiments 200, 208 et 209A. Les bâtiments ciblés sont au cœur de l’implantation du laboratoire.</w:t>
      </w:r>
    </w:p>
    <w:p w14:paraId="15B75AC5" w14:textId="77777777"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 </w:t>
      </w:r>
    </w:p>
    <w:p w14:paraId="3621F8E8" w14:textId="150A1BA8" w:rsidR="008563B4" w:rsidRPr="008563B4"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Les éléments seront entièrement requestionnés à l’échelle des besoins et des implantations du laboratoire et non à la seule échelle des bâtiments ci-dessus comme c’était le cas pour l’étude de 2022</w:t>
      </w:r>
      <w:r w:rsidR="00031327">
        <w:rPr>
          <w:rFonts w:ascii="Arial" w:hAnsi="Arial" w:cs="Arial"/>
          <w:iCs/>
          <w:sz w:val="20"/>
          <w:szCs w:val="20"/>
        </w:rPr>
        <w:t xml:space="preserve"> afin de pouvoir réaliser le dossier d’expertise et de labellisation.</w:t>
      </w:r>
      <w:r w:rsidRPr="008563B4">
        <w:rPr>
          <w:rFonts w:ascii="Arial" w:hAnsi="Arial" w:cs="Arial"/>
          <w:iCs/>
          <w:sz w:val="20"/>
          <w:szCs w:val="20"/>
        </w:rPr>
        <w:t xml:space="preserve"> </w:t>
      </w:r>
    </w:p>
    <w:p w14:paraId="5FBDB445" w14:textId="44910D18" w:rsidR="00031327"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Le schéma directeur prendra en compte la priorisation de cette opération nécessaire au regroupement des équipes du laboratoire. </w:t>
      </w:r>
    </w:p>
    <w:p w14:paraId="3B05F19A" w14:textId="77777777" w:rsidR="00031327" w:rsidRDefault="00031327" w:rsidP="008563B4">
      <w:pPr>
        <w:pStyle w:val="Paragraphedeliste"/>
        <w:spacing w:line="276" w:lineRule="auto"/>
        <w:ind w:left="0"/>
        <w:jc w:val="both"/>
        <w:rPr>
          <w:rFonts w:ascii="Arial" w:hAnsi="Arial" w:cs="Arial"/>
          <w:iCs/>
          <w:sz w:val="20"/>
          <w:szCs w:val="20"/>
        </w:rPr>
      </w:pPr>
    </w:p>
    <w:p w14:paraId="17F90BC2" w14:textId="7CA5F30B" w:rsidR="002D3BA2" w:rsidRDefault="008563B4" w:rsidP="008563B4">
      <w:pPr>
        <w:pStyle w:val="Paragraphedeliste"/>
        <w:spacing w:line="276" w:lineRule="auto"/>
        <w:ind w:left="0"/>
        <w:jc w:val="both"/>
        <w:rPr>
          <w:rFonts w:ascii="Arial" w:hAnsi="Arial" w:cs="Arial"/>
          <w:iCs/>
          <w:sz w:val="20"/>
          <w:szCs w:val="20"/>
        </w:rPr>
      </w:pPr>
      <w:r w:rsidRPr="008563B4">
        <w:rPr>
          <w:rFonts w:ascii="Arial" w:hAnsi="Arial" w:cs="Arial"/>
          <w:iCs/>
          <w:sz w:val="20"/>
          <w:szCs w:val="20"/>
        </w:rPr>
        <w:t xml:space="preserve">La programmation </w:t>
      </w:r>
      <w:r w:rsidR="00031327">
        <w:rPr>
          <w:rFonts w:ascii="Arial" w:hAnsi="Arial" w:cs="Arial"/>
          <w:iCs/>
          <w:sz w:val="20"/>
          <w:szCs w:val="20"/>
        </w:rPr>
        <w:t>de ce 1</w:t>
      </w:r>
      <w:r w:rsidR="00031327" w:rsidRPr="00031327">
        <w:rPr>
          <w:rFonts w:ascii="Arial" w:hAnsi="Arial" w:cs="Arial"/>
          <w:iCs/>
          <w:sz w:val="20"/>
          <w:szCs w:val="20"/>
          <w:vertAlign w:val="superscript"/>
        </w:rPr>
        <w:t>er</w:t>
      </w:r>
      <w:r w:rsidR="00031327">
        <w:rPr>
          <w:rFonts w:ascii="Arial" w:hAnsi="Arial" w:cs="Arial"/>
          <w:iCs/>
          <w:sz w:val="20"/>
          <w:szCs w:val="20"/>
        </w:rPr>
        <w:t xml:space="preserve"> jalon est en cours</w:t>
      </w:r>
      <w:r w:rsidR="003F67D6">
        <w:rPr>
          <w:rFonts w:ascii="Arial" w:hAnsi="Arial" w:cs="Arial"/>
          <w:iCs/>
          <w:sz w:val="20"/>
          <w:szCs w:val="20"/>
        </w:rPr>
        <w:t>. L’opération concernera principalement le bâtiment 208 avec</w:t>
      </w:r>
      <w:r w:rsidR="00031327">
        <w:rPr>
          <w:rFonts w:ascii="Arial" w:hAnsi="Arial" w:cs="Arial"/>
          <w:iCs/>
          <w:sz w:val="20"/>
          <w:szCs w:val="20"/>
        </w:rPr>
        <w:t xml:space="preserve"> la démolition d’une extension en préfabriqué</w:t>
      </w:r>
      <w:r w:rsidR="003F67D6">
        <w:rPr>
          <w:rFonts w:ascii="Arial" w:hAnsi="Arial" w:cs="Arial"/>
          <w:iCs/>
          <w:sz w:val="20"/>
          <w:szCs w:val="20"/>
        </w:rPr>
        <w:t xml:space="preserve"> et de l’aile nord affectée à l’Université construite en structure métallique pour ne garder que la partie en construction traditionnelle dont la</w:t>
      </w:r>
      <w:r w:rsidR="00031327">
        <w:rPr>
          <w:rFonts w:ascii="Arial" w:hAnsi="Arial" w:cs="Arial"/>
          <w:iCs/>
          <w:sz w:val="20"/>
          <w:szCs w:val="20"/>
        </w:rPr>
        <w:t xml:space="preserve"> rénovation </w:t>
      </w:r>
      <w:r w:rsidR="003F67D6">
        <w:rPr>
          <w:rFonts w:ascii="Arial" w:hAnsi="Arial" w:cs="Arial"/>
          <w:iCs/>
          <w:sz w:val="20"/>
          <w:szCs w:val="20"/>
        </w:rPr>
        <w:t xml:space="preserve">sera </w:t>
      </w:r>
      <w:r w:rsidR="00031327">
        <w:rPr>
          <w:rFonts w:ascii="Arial" w:hAnsi="Arial" w:cs="Arial"/>
          <w:iCs/>
          <w:sz w:val="20"/>
          <w:szCs w:val="20"/>
        </w:rPr>
        <w:t>complète</w:t>
      </w:r>
      <w:r w:rsidR="003F67D6">
        <w:rPr>
          <w:rFonts w:ascii="Arial" w:hAnsi="Arial" w:cs="Arial"/>
          <w:iCs/>
          <w:sz w:val="20"/>
          <w:szCs w:val="20"/>
        </w:rPr>
        <w:t>. Les zones démolies seront renaturées.</w:t>
      </w:r>
    </w:p>
    <w:p w14:paraId="0569E470" w14:textId="564B8D4A" w:rsidR="003F67D6" w:rsidRDefault="003F67D6" w:rsidP="008563B4">
      <w:pPr>
        <w:pStyle w:val="Paragraphedeliste"/>
        <w:spacing w:line="276" w:lineRule="auto"/>
        <w:ind w:left="0"/>
        <w:jc w:val="both"/>
        <w:rPr>
          <w:rFonts w:ascii="Arial" w:hAnsi="Arial" w:cs="Arial"/>
          <w:iCs/>
          <w:sz w:val="20"/>
          <w:szCs w:val="20"/>
        </w:rPr>
      </w:pPr>
      <w:r>
        <w:rPr>
          <w:rFonts w:ascii="Arial" w:hAnsi="Arial" w:cs="Arial"/>
          <w:iCs/>
          <w:sz w:val="20"/>
          <w:szCs w:val="20"/>
        </w:rPr>
        <w:t>L’opération pourrait comprendre d’autres démolitions.</w:t>
      </w:r>
    </w:p>
    <w:p w14:paraId="2B782740" w14:textId="316A45C4" w:rsidR="003F67D6" w:rsidRDefault="003F67D6" w:rsidP="008563B4">
      <w:pPr>
        <w:pStyle w:val="Paragraphedeliste"/>
        <w:spacing w:line="276" w:lineRule="auto"/>
        <w:ind w:left="0"/>
        <w:jc w:val="both"/>
        <w:rPr>
          <w:rFonts w:ascii="Arial" w:hAnsi="Arial" w:cs="Arial"/>
          <w:iCs/>
          <w:sz w:val="20"/>
          <w:szCs w:val="20"/>
        </w:rPr>
      </w:pPr>
    </w:p>
    <w:p w14:paraId="55034ACA" w14:textId="7A59185F" w:rsidR="007F0B88" w:rsidRDefault="007F0B88" w:rsidP="008563B4">
      <w:pPr>
        <w:pStyle w:val="Paragraphedeliste"/>
        <w:spacing w:line="276" w:lineRule="auto"/>
        <w:ind w:left="0"/>
        <w:jc w:val="both"/>
        <w:rPr>
          <w:rFonts w:ascii="Arial" w:hAnsi="Arial" w:cs="Arial"/>
          <w:iCs/>
          <w:sz w:val="20"/>
          <w:szCs w:val="20"/>
        </w:rPr>
      </w:pPr>
    </w:p>
    <w:p w14:paraId="7F5E9F40" w14:textId="5EC5A6A6" w:rsidR="007F0B88" w:rsidRDefault="007F0B88" w:rsidP="007F0B88">
      <w:pPr>
        <w:pStyle w:val="Titre3"/>
        <w:ind w:left="0" w:hanging="567"/>
        <w:rPr>
          <w:rFonts w:ascii="Arial" w:hAnsi="Arial" w:cs="Arial"/>
          <w:i w:val="0"/>
          <w:iCs/>
          <w:sz w:val="20"/>
          <w:szCs w:val="20"/>
        </w:rPr>
      </w:pPr>
      <w:r>
        <w:rPr>
          <w:rFonts w:ascii="Arial" w:hAnsi="Arial" w:cs="Arial"/>
          <w:i w:val="0"/>
          <w:iCs/>
          <w:sz w:val="20"/>
          <w:szCs w:val="20"/>
        </w:rPr>
        <w:t xml:space="preserve">La </w:t>
      </w:r>
      <w:r>
        <w:rPr>
          <w:rFonts w:ascii="Arial" w:hAnsi="Arial" w:cs="Arial"/>
          <w:i w:val="0"/>
          <w:iCs/>
          <w:sz w:val="20"/>
          <w:szCs w:val="20"/>
        </w:rPr>
        <w:t>valorisation</w:t>
      </w:r>
    </w:p>
    <w:p w14:paraId="37FADB17" w14:textId="77777777" w:rsidR="007F0B88" w:rsidRPr="007F0B88" w:rsidRDefault="007F0B88" w:rsidP="007F0B88">
      <w:pPr>
        <w:pStyle w:val="Paragraphedeliste"/>
        <w:spacing w:line="276" w:lineRule="auto"/>
        <w:ind w:left="0"/>
        <w:jc w:val="both"/>
        <w:rPr>
          <w:rFonts w:ascii="Arial" w:hAnsi="Arial" w:cs="Arial"/>
          <w:iCs/>
          <w:sz w:val="20"/>
          <w:szCs w:val="20"/>
        </w:rPr>
      </w:pPr>
      <w:r w:rsidRPr="007F0B88">
        <w:rPr>
          <w:rFonts w:ascii="Arial" w:hAnsi="Arial" w:cs="Arial"/>
          <w:iCs/>
          <w:sz w:val="20"/>
          <w:szCs w:val="20"/>
        </w:rPr>
        <w:t>L’ambition de l’Université est de réunir dans un même lieu la recherche, l’enseignement, les laboratoires de recherche et entreprises à différents stades d’évolution (pas uniquement dans leur stade initial de start-ups). Les réussites mondiales sur les sujets de la physique, des mathématiques, et de la biologie/environnement notamment sont autant de « locomotives » pouvant attirer des partenaires extérieurs et permettre la valorisation du patrimoine universitaire, tout en créant des opportunités de collaboration avec l’enseignement. L’enjeu financier est important au regard des recettes potentielles pour l’Université.</w:t>
      </w:r>
    </w:p>
    <w:p w14:paraId="2DB3E4F0" w14:textId="77777777" w:rsidR="007F0B88" w:rsidRPr="007F0B88" w:rsidRDefault="007F0B88" w:rsidP="007F0B88">
      <w:pPr>
        <w:pStyle w:val="Paragraphedeliste"/>
        <w:spacing w:line="276" w:lineRule="auto"/>
        <w:ind w:left="0"/>
        <w:jc w:val="both"/>
        <w:rPr>
          <w:rFonts w:ascii="Arial" w:hAnsi="Arial" w:cs="Arial"/>
          <w:iCs/>
          <w:sz w:val="20"/>
          <w:szCs w:val="20"/>
        </w:rPr>
      </w:pPr>
    </w:p>
    <w:p w14:paraId="69628E05" w14:textId="77777777" w:rsidR="007F0B88" w:rsidRPr="007F0B88" w:rsidRDefault="007F0B88" w:rsidP="007F0B88">
      <w:pPr>
        <w:pStyle w:val="Paragraphedeliste"/>
        <w:spacing w:line="276" w:lineRule="auto"/>
        <w:ind w:left="0"/>
        <w:jc w:val="both"/>
        <w:rPr>
          <w:rFonts w:ascii="Arial" w:hAnsi="Arial" w:cs="Arial"/>
          <w:iCs/>
          <w:sz w:val="20"/>
          <w:szCs w:val="20"/>
        </w:rPr>
      </w:pPr>
      <w:r w:rsidRPr="007F0B88">
        <w:rPr>
          <w:rFonts w:ascii="Arial" w:hAnsi="Arial" w:cs="Arial"/>
          <w:iCs/>
          <w:sz w:val="20"/>
          <w:szCs w:val="20"/>
        </w:rPr>
        <w:t xml:space="preserve">Le lien formation / entreprenariat est notamment mis en valeur sur le site de l’IEI (Institut pour l’Entreprenariat et l’Innovation) à Fontenay-aux-Roses. L’Université y soutient le développement de start-ups par de l’information, de l’accompagnement, assurés par le pôle Entreprenariat de la Direction de la Formation et de la Réussite ainsi que par l’Institut qui dispense des formations initiales et continues, pour la plupart en alternance, centrées sur l’innovation, tel que le Master Innovation, Digital, Conseil. </w:t>
      </w:r>
    </w:p>
    <w:p w14:paraId="04EF56EC" w14:textId="77777777" w:rsidR="007F0B88" w:rsidRPr="007F0B88" w:rsidRDefault="007F0B88" w:rsidP="007F0B88">
      <w:pPr>
        <w:pStyle w:val="Paragraphedeliste"/>
        <w:spacing w:line="276" w:lineRule="auto"/>
        <w:ind w:left="0"/>
        <w:jc w:val="both"/>
        <w:rPr>
          <w:rFonts w:ascii="Arial" w:hAnsi="Arial" w:cs="Arial"/>
          <w:iCs/>
          <w:sz w:val="20"/>
          <w:szCs w:val="20"/>
        </w:rPr>
      </w:pPr>
    </w:p>
    <w:p w14:paraId="6CE64DEF" w14:textId="77777777" w:rsidR="007F0B88" w:rsidRPr="007F0B88" w:rsidRDefault="007F0B88" w:rsidP="007F0B88">
      <w:pPr>
        <w:pStyle w:val="Paragraphedeliste"/>
        <w:spacing w:line="276" w:lineRule="auto"/>
        <w:ind w:left="0"/>
        <w:jc w:val="both"/>
        <w:rPr>
          <w:rFonts w:ascii="Arial" w:hAnsi="Arial" w:cs="Arial"/>
          <w:iCs/>
          <w:sz w:val="20"/>
          <w:szCs w:val="20"/>
        </w:rPr>
      </w:pPr>
      <w:r w:rsidRPr="007F0B88">
        <w:rPr>
          <w:rFonts w:ascii="Arial" w:hAnsi="Arial" w:cs="Arial"/>
          <w:iCs/>
          <w:sz w:val="20"/>
          <w:szCs w:val="20"/>
        </w:rPr>
        <w:t xml:space="preserve">En outre, l’Université a pour mission en plus de la recherche et de la formation, le « développement de la culture et la diffusion des connaissances et des résultats de la recherche » et de « favoriser l’innovation, la création individuelle et collective dans le domaine des arts, des lettres, des sciences et </w:t>
      </w:r>
      <w:r w:rsidRPr="007F0B88">
        <w:rPr>
          <w:rFonts w:ascii="Arial" w:hAnsi="Arial" w:cs="Arial"/>
          <w:iCs/>
          <w:sz w:val="20"/>
          <w:szCs w:val="20"/>
        </w:rPr>
        <w:lastRenderedPageBreak/>
        <w:t>des techniques » (article L123 du code de l’Education). Cela se traduit notamment par la mise en place de plusieurs musées, de réflexions sur les sciences participatives et de nouvelles manières de toucher divers publics.</w:t>
      </w:r>
    </w:p>
    <w:p w14:paraId="5A48BE7C" w14:textId="77777777" w:rsidR="007F0B88" w:rsidRPr="007F0B88" w:rsidRDefault="007F0B88" w:rsidP="007F0B88">
      <w:pPr>
        <w:pStyle w:val="Paragraphedeliste"/>
        <w:spacing w:line="276" w:lineRule="auto"/>
        <w:ind w:left="0"/>
        <w:jc w:val="both"/>
        <w:rPr>
          <w:rFonts w:ascii="Arial" w:hAnsi="Arial" w:cs="Arial"/>
          <w:iCs/>
          <w:sz w:val="20"/>
          <w:szCs w:val="20"/>
        </w:rPr>
      </w:pPr>
    </w:p>
    <w:p w14:paraId="33C09435" w14:textId="77777777" w:rsidR="007F0B88" w:rsidRPr="007F0B88" w:rsidRDefault="007F0B88" w:rsidP="007F0B88">
      <w:pPr>
        <w:pStyle w:val="Paragraphedeliste"/>
        <w:spacing w:line="276" w:lineRule="auto"/>
        <w:ind w:left="0"/>
        <w:jc w:val="both"/>
        <w:rPr>
          <w:rFonts w:ascii="Arial" w:hAnsi="Arial" w:cs="Arial"/>
          <w:iCs/>
          <w:sz w:val="20"/>
          <w:szCs w:val="20"/>
        </w:rPr>
      </w:pPr>
      <w:r w:rsidRPr="007F0B88">
        <w:rPr>
          <w:rFonts w:ascii="Arial" w:hAnsi="Arial" w:cs="Arial"/>
          <w:iCs/>
          <w:sz w:val="20"/>
          <w:szCs w:val="20"/>
        </w:rPr>
        <w:t>Ainsi, le campus Plateau-Vallée compte quelques musées/lieux de médiation scientifique mettant en avant des domaines de recherches spécifiques, tel que :</w:t>
      </w:r>
    </w:p>
    <w:p w14:paraId="7E028413" w14:textId="6AF1D396" w:rsidR="007F0B88" w:rsidRPr="007F0B88" w:rsidRDefault="007F0B88" w:rsidP="00041800">
      <w:pPr>
        <w:pStyle w:val="Paragraphedeliste"/>
        <w:numPr>
          <w:ilvl w:val="0"/>
          <w:numId w:val="12"/>
        </w:numPr>
        <w:spacing w:line="276" w:lineRule="auto"/>
        <w:jc w:val="both"/>
        <w:rPr>
          <w:rFonts w:ascii="Arial" w:hAnsi="Arial" w:cs="Arial"/>
          <w:iCs/>
          <w:sz w:val="20"/>
          <w:szCs w:val="20"/>
        </w:rPr>
      </w:pPr>
      <w:r w:rsidRPr="007F0B88">
        <w:rPr>
          <w:rFonts w:ascii="Arial" w:hAnsi="Arial" w:cs="Arial"/>
          <w:iCs/>
          <w:sz w:val="20"/>
          <w:szCs w:val="20"/>
        </w:rPr>
        <w:t>Le musée sciences Aco, musée de la lumière et de la matière, présentant principalement des thématiques de recherche en physique (bâtiment 201 dans la vallée d’Orsay)</w:t>
      </w:r>
    </w:p>
    <w:p w14:paraId="4191D067" w14:textId="1542308D" w:rsidR="007F0B88" w:rsidRPr="007F0B88" w:rsidRDefault="007F0B88" w:rsidP="00041800">
      <w:pPr>
        <w:pStyle w:val="Paragraphedeliste"/>
        <w:numPr>
          <w:ilvl w:val="0"/>
          <w:numId w:val="12"/>
        </w:numPr>
        <w:spacing w:line="276" w:lineRule="auto"/>
        <w:jc w:val="both"/>
        <w:rPr>
          <w:rFonts w:ascii="Arial" w:hAnsi="Arial" w:cs="Arial"/>
          <w:iCs/>
          <w:sz w:val="20"/>
          <w:szCs w:val="20"/>
        </w:rPr>
      </w:pPr>
      <w:r w:rsidRPr="007F0B88">
        <w:rPr>
          <w:rFonts w:ascii="Arial" w:hAnsi="Arial" w:cs="Arial"/>
          <w:iCs/>
          <w:sz w:val="20"/>
          <w:szCs w:val="20"/>
        </w:rPr>
        <w:t>Le musée Albarelle, musée de l’histoire de la pharmacie, ayant pour vocation de retracer l’Histoire de la Pharmacie, et de conserver le patrimoine pharmaceutique (Bâtiment Henri Moissan sur le plateau de S</w:t>
      </w:r>
      <w:r>
        <w:rPr>
          <w:rFonts w:ascii="Arial" w:hAnsi="Arial" w:cs="Arial"/>
          <w:iCs/>
          <w:sz w:val="20"/>
          <w:szCs w:val="20"/>
        </w:rPr>
        <w:t>a</w:t>
      </w:r>
      <w:r w:rsidRPr="007F0B88">
        <w:rPr>
          <w:rFonts w:ascii="Arial" w:hAnsi="Arial" w:cs="Arial"/>
          <w:iCs/>
          <w:sz w:val="20"/>
          <w:szCs w:val="20"/>
        </w:rPr>
        <w:t>clay).</w:t>
      </w:r>
    </w:p>
    <w:p w14:paraId="11F4D0DE" w14:textId="5B7F2B1E" w:rsidR="007F0B88" w:rsidRPr="007F0B88" w:rsidRDefault="007F0B88" w:rsidP="00041800">
      <w:pPr>
        <w:pStyle w:val="Paragraphedeliste"/>
        <w:numPr>
          <w:ilvl w:val="0"/>
          <w:numId w:val="12"/>
        </w:numPr>
        <w:spacing w:line="276" w:lineRule="auto"/>
        <w:jc w:val="both"/>
        <w:rPr>
          <w:rFonts w:ascii="Arial" w:hAnsi="Arial" w:cs="Arial"/>
          <w:iCs/>
          <w:sz w:val="20"/>
          <w:szCs w:val="20"/>
        </w:rPr>
      </w:pPr>
      <w:r w:rsidRPr="007F0B88">
        <w:rPr>
          <w:rFonts w:ascii="Arial" w:hAnsi="Arial" w:cs="Arial"/>
          <w:iCs/>
          <w:sz w:val="20"/>
          <w:szCs w:val="20"/>
        </w:rPr>
        <w:t>La Maison d'initiation et de sensibilisation aux sciences (MISS), installée depuis 2017 dans le bâtiment 204 dans la vallée d’Orsay, accueille public et scolaire pour des ateliers autour de thématiques scientifiques. Les ateliers sont conçus par les référents MISS, des enseignants-chercheurs, des chercheurs, des doctorants des Universités Paris-Saclay, Paris-Ouest, Paris I, des personnels d’Associations, tous spécialistes des thématiques abordées.</w:t>
      </w:r>
    </w:p>
    <w:p w14:paraId="77FD9921" w14:textId="77777777" w:rsidR="007F0B88" w:rsidRPr="007F0B88" w:rsidRDefault="007F0B88" w:rsidP="007F0B88">
      <w:pPr>
        <w:pStyle w:val="Paragraphedeliste"/>
        <w:spacing w:line="276" w:lineRule="auto"/>
        <w:ind w:left="0"/>
        <w:jc w:val="both"/>
        <w:rPr>
          <w:rFonts w:ascii="Arial" w:hAnsi="Arial" w:cs="Arial"/>
          <w:iCs/>
          <w:sz w:val="20"/>
          <w:szCs w:val="20"/>
        </w:rPr>
      </w:pPr>
    </w:p>
    <w:p w14:paraId="56E887F0" w14:textId="77777777" w:rsidR="007F0B88" w:rsidRPr="007F0B88" w:rsidRDefault="007F0B88" w:rsidP="007F0B88">
      <w:pPr>
        <w:pStyle w:val="Paragraphedeliste"/>
        <w:spacing w:line="276" w:lineRule="auto"/>
        <w:ind w:left="0"/>
        <w:jc w:val="both"/>
        <w:rPr>
          <w:rFonts w:ascii="Arial" w:hAnsi="Arial" w:cs="Arial"/>
          <w:iCs/>
          <w:sz w:val="20"/>
          <w:szCs w:val="20"/>
        </w:rPr>
      </w:pPr>
      <w:r w:rsidRPr="007F0B88">
        <w:rPr>
          <w:rFonts w:ascii="Arial" w:hAnsi="Arial" w:cs="Arial"/>
          <w:iCs/>
          <w:sz w:val="20"/>
          <w:szCs w:val="20"/>
        </w:rPr>
        <w:t>D’autres projets de valorisation scientifiques sont en cours de réflexion :</w:t>
      </w:r>
    </w:p>
    <w:p w14:paraId="31B3F341" w14:textId="77777777" w:rsidR="007F0B88" w:rsidRPr="007F0B88" w:rsidRDefault="007F0B88" w:rsidP="007F0B88">
      <w:pPr>
        <w:pStyle w:val="Paragraphedeliste"/>
        <w:spacing w:line="276" w:lineRule="auto"/>
        <w:ind w:left="0"/>
        <w:jc w:val="both"/>
        <w:rPr>
          <w:rFonts w:ascii="Arial" w:hAnsi="Arial" w:cs="Arial"/>
          <w:iCs/>
          <w:sz w:val="20"/>
          <w:szCs w:val="20"/>
        </w:rPr>
      </w:pPr>
    </w:p>
    <w:p w14:paraId="5F87E21F" w14:textId="77777777" w:rsidR="007F0B88" w:rsidRPr="007F0B88" w:rsidRDefault="007F0B88" w:rsidP="007F0B88">
      <w:pPr>
        <w:pStyle w:val="Paragraphedeliste"/>
        <w:spacing w:line="276" w:lineRule="auto"/>
        <w:ind w:left="0"/>
        <w:jc w:val="both"/>
        <w:rPr>
          <w:rFonts w:ascii="Arial" w:hAnsi="Arial" w:cs="Arial"/>
          <w:iCs/>
          <w:sz w:val="20"/>
          <w:szCs w:val="20"/>
        </w:rPr>
      </w:pPr>
    </w:p>
    <w:p w14:paraId="7AFAB379" w14:textId="0F81F7EF" w:rsidR="007F0B88" w:rsidRPr="007F0B88" w:rsidRDefault="007F0B88" w:rsidP="00041800">
      <w:pPr>
        <w:pStyle w:val="Paragraphedeliste"/>
        <w:numPr>
          <w:ilvl w:val="0"/>
          <w:numId w:val="13"/>
        </w:numPr>
        <w:spacing w:line="276" w:lineRule="auto"/>
        <w:jc w:val="both"/>
        <w:rPr>
          <w:rFonts w:ascii="Arial" w:hAnsi="Arial" w:cs="Arial"/>
          <w:iCs/>
          <w:sz w:val="20"/>
          <w:szCs w:val="20"/>
        </w:rPr>
      </w:pPr>
      <w:r>
        <w:rPr>
          <w:rFonts w:ascii="Arial" w:hAnsi="Arial" w:cs="Arial"/>
          <w:iCs/>
          <w:sz w:val="20"/>
          <w:szCs w:val="20"/>
        </w:rPr>
        <w:t>La c</w:t>
      </w:r>
      <w:r w:rsidRPr="007F0B88">
        <w:rPr>
          <w:rFonts w:ascii="Arial" w:hAnsi="Arial" w:cs="Arial"/>
          <w:iCs/>
          <w:sz w:val="20"/>
          <w:szCs w:val="20"/>
        </w:rPr>
        <w:t xml:space="preserve">réation d’une maison des écologies, qui aurait pour vocation de relier les recherches scientifiques en matière d’écologie et l’écologie de l’action collective et individuelle et de proposer des actions à destination du grand public, des publics scolaires, … etc. </w:t>
      </w:r>
    </w:p>
    <w:p w14:paraId="7EC41E97" w14:textId="74E42D25" w:rsidR="007F0B88" w:rsidRPr="007F0B88" w:rsidRDefault="007F0B88" w:rsidP="00041800">
      <w:pPr>
        <w:pStyle w:val="Paragraphedeliste"/>
        <w:numPr>
          <w:ilvl w:val="0"/>
          <w:numId w:val="13"/>
        </w:numPr>
        <w:spacing w:line="276" w:lineRule="auto"/>
        <w:jc w:val="both"/>
        <w:rPr>
          <w:rFonts w:ascii="Arial" w:hAnsi="Arial" w:cs="Arial"/>
          <w:iCs/>
          <w:sz w:val="20"/>
          <w:szCs w:val="20"/>
        </w:rPr>
      </w:pPr>
      <w:r>
        <w:rPr>
          <w:rFonts w:ascii="Arial" w:hAnsi="Arial" w:cs="Arial"/>
          <w:iCs/>
          <w:sz w:val="20"/>
          <w:szCs w:val="20"/>
        </w:rPr>
        <w:t>La c</w:t>
      </w:r>
      <w:r w:rsidRPr="007F0B88">
        <w:rPr>
          <w:rFonts w:ascii="Arial" w:hAnsi="Arial" w:cs="Arial"/>
          <w:iCs/>
          <w:sz w:val="20"/>
          <w:szCs w:val="20"/>
        </w:rPr>
        <w:t xml:space="preserve">réation d’un Centre du Mouvement et de la Performance Sportive (CMPS) : adossée à la Faculté des Sciences du Sport en cours d’étude au sein de la composante, </w:t>
      </w:r>
      <w:proofErr w:type="spellStart"/>
      <w:r w:rsidRPr="007F0B88">
        <w:rPr>
          <w:rFonts w:ascii="Arial" w:hAnsi="Arial" w:cs="Arial"/>
          <w:iCs/>
          <w:sz w:val="20"/>
          <w:szCs w:val="20"/>
        </w:rPr>
        <w:t>ilvise</w:t>
      </w:r>
      <w:proofErr w:type="spellEnd"/>
      <w:r w:rsidRPr="007F0B88">
        <w:rPr>
          <w:rFonts w:ascii="Arial" w:hAnsi="Arial" w:cs="Arial"/>
          <w:iCs/>
          <w:sz w:val="20"/>
          <w:szCs w:val="20"/>
        </w:rPr>
        <w:t xml:space="preserve"> à proposer un accompagnement scientifique allant du sport-santé au sport performance. Le CMPS repose sur l’expertise développée depuis une vingtaine d’années par les enseignants et enseignant - chercheurs du laboratoire Complexité, Innovation, Activités Motrices et Sportives (CIAMS) autour du corps et du mouvement humain. Dans l’esprit d’une science utile à la société, ce Centre vise à accueillir différents publics : des adolescents et jeunes adultes sédentaires dont il va s’agir d’analyser et de lever les freins à l’activité physique, des seniors pour lesquels l’activité sportive constitue un facteur de maintien des capacités physiques et cognitives et plus généralement de l’autonomie et enfin des sportifs de bon et de haut-niveau à la recherche d’une amélioration de leurs performances. Outre les compétences scientifiques, le CMPS dispose des technologies permettant à ces différents publics d’atteindre les objectifs définis. Ce Centre, accessible PMR, inclurait plusieurs espaces dont la distribution reste à définir : un espace de sports intérieurs d’environ 600m², connecté, intégrant différentes plateformes de </w:t>
      </w:r>
      <w:proofErr w:type="spellStart"/>
      <w:r w:rsidRPr="007F0B88">
        <w:rPr>
          <w:rFonts w:ascii="Arial" w:hAnsi="Arial" w:cs="Arial"/>
          <w:iCs/>
          <w:sz w:val="20"/>
          <w:szCs w:val="20"/>
        </w:rPr>
        <w:t>testing</w:t>
      </w:r>
      <w:proofErr w:type="spellEnd"/>
      <w:r w:rsidRPr="007F0B88">
        <w:rPr>
          <w:rFonts w:ascii="Arial" w:hAnsi="Arial" w:cs="Arial"/>
          <w:iCs/>
          <w:sz w:val="20"/>
          <w:szCs w:val="20"/>
        </w:rPr>
        <w:t>, une salle d’</w:t>
      </w:r>
      <w:proofErr w:type="spellStart"/>
      <w:r w:rsidRPr="007F0B88">
        <w:rPr>
          <w:rFonts w:ascii="Arial" w:hAnsi="Arial" w:cs="Arial"/>
          <w:iCs/>
          <w:sz w:val="20"/>
          <w:szCs w:val="20"/>
        </w:rPr>
        <w:t>exergame</w:t>
      </w:r>
      <w:proofErr w:type="spellEnd"/>
      <w:r w:rsidRPr="007F0B88">
        <w:rPr>
          <w:rFonts w:ascii="Arial" w:hAnsi="Arial" w:cs="Arial"/>
          <w:iCs/>
          <w:sz w:val="20"/>
          <w:szCs w:val="20"/>
        </w:rPr>
        <w:t xml:space="preserve"> dédiée aux seniors, plusieurs salles de cours, des bureaux pour 3 collaborateurs permanents, une salle de réunion, des vestiaires, un espace de convivialité pouvant être utilisé comme lieu de restauration ainsi qu’un espace polyvalent de pratiques sportives extérieures</w:t>
      </w:r>
    </w:p>
    <w:p w14:paraId="44D68DF4" w14:textId="4E093344" w:rsidR="007F0B88" w:rsidRPr="007F0B88" w:rsidRDefault="007F0B88" w:rsidP="00041800">
      <w:pPr>
        <w:pStyle w:val="Paragraphedeliste"/>
        <w:numPr>
          <w:ilvl w:val="0"/>
          <w:numId w:val="13"/>
        </w:numPr>
        <w:spacing w:line="276" w:lineRule="auto"/>
        <w:jc w:val="both"/>
        <w:rPr>
          <w:rFonts w:ascii="Arial" w:hAnsi="Arial" w:cs="Arial"/>
          <w:iCs/>
          <w:sz w:val="20"/>
          <w:szCs w:val="20"/>
        </w:rPr>
      </w:pPr>
      <w:r>
        <w:rPr>
          <w:rFonts w:ascii="Arial" w:hAnsi="Arial" w:cs="Arial"/>
          <w:iCs/>
          <w:sz w:val="20"/>
          <w:szCs w:val="20"/>
        </w:rPr>
        <w:t>La c</w:t>
      </w:r>
      <w:r w:rsidRPr="007F0B88">
        <w:rPr>
          <w:rFonts w:ascii="Arial" w:hAnsi="Arial" w:cs="Arial"/>
          <w:iCs/>
          <w:sz w:val="20"/>
          <w:szCs w:val="20"/>
        </w:rPr>
        <w:t xml:space="preserve">réation d’un bâtiment pour un patrimoine scientifique 2.0 qui comprendrait un espace d’exposition permanente relative à l’histoire du campus d’Orsay, un espace d’exposition temporaire portant sur l’actualité de la recherche de l’Université et un espace immersif type escape </w:t>
      </w:r>
      <w:proofErr w:type="spellStart"/>
      <w:r w:rsidRPr="007F0B88">
        <w:rPr>
          <w:rFonts w:ascii="Arial" w:hAnsi="Arial" w:cs="Arial"/>
          <w:iCs/>
          <w:sz w:val="20"/>
          <w:szCs w:val="20"/>
        </w:rPr>
        <w:t>game</w:t>
      </w:r>
      <w:proofErr w:type="spellEnd"/>
      <w:r w:rsidRPr="007F0B88">
        <w:rPr>
          <w:rFonts w:ascii="Arial" w:hAnsi="Arial" w:cs="Arial"/>
          <w:iCs/>
          <w:sz w:val="20"/>
          <w:szCs w:val="20"/>
        </w:rPr>
        <w:t>.</w:t>
      </w:r>
    </w:p>
    <w:p w14:paraId="4708F16B" w14:textId="11D6E69F" w:rsidR="007F0B88" w:rsidRDefault="007F0B88" w:rsidP="00041800">
      <w:pPr>
        <w:pStyle w:val="Paragraphedeliste"/>
        <w:numPr>
          <w:ilvl w:val="0"/>
          <w:numId w:val="13"/>
        </w:numPr>
        <w:spacing w:line="276" w:lineRule="auto"/>
        <w:jc w:val="both"/>
        <w:rPr>
          <w:rFonts w:ascii="Arial" w:hAnsi="Arial" w:cs="Arial"/>
          <w:iCs/>
          <w:sz w:val="20"/>
          <w:szCs w:val="20"/>
        </w:rPr>
      </w:pPr>
      <w:r>
        <w:rPr>
          <w:rFonts w:ascii="Arial" w:hAnsi="Arial" w:cs="Arial"/>
          <w:iCs/>
          <w:sz w:val="20"/>
          <w:szCs w:val="20"/>
        </w:rPr>
        <w:t>La c</w:t>
      </w:r>
      <w:r w:rsidRPr="007F0B88">
        <w:rPr>
          <w:rFonts w:ascii="Arial" w:hAnsi="Arial" w:cs="Arial"/>
          <w:iCs/>
          <w:sz w:val="20"/>
          <w:szCs w:val="20"/>
        </w:rPr>
        <w:t>réation d’un hôtel à enseignant-chercheur/chercheur/entreprise</w:t>
      </w:r>
    </w:p>
    <w:p w14:paraId="7C5A2053" w14:textId="26BA8307" w:rsidR="007F0B88" w:rsidRDefault="007F0B88" w:rsidP="007F0B88">
      <w:pPr>
        <w:spacing w:line="276" w:lineRule="auto"/>
        <w:jc w:val="both"/>
        <w:rPr>
          <w:rFonts w:ascii="Arial" w:hAnsi="Arial" w:cs="Arial"/>
          <w:iCs/>
          <w:sz w:val="20"/>
          <w:szCs w:val="20"/>
        </w:rPr>
      </w:pPr>
    </w:p>
    <w:p w14:paraId="52244772" w14:textId="3DDE7AAB" w:rsidR="007F0B88" w:rsidRDefault="007F0B88" w:rsidP="007F0B88">
      <w:pPr>
        <w:pStyle w:val="Titre3"/>
        <w:ind w:left="0" w:hanging="567"/>
        <w:rPr>
          <w:rFonts w:ascii="Arial" w:hAnsi="Arial" w:cs="Arial"/>
          <w:i w:val="0"/>
          <w:iCs/>
          <w:sz w:val="20"/>
          <w:szCs w:val="20"/>
        </w:rPr>
      </w:pPr>
      <w:r>
        <w:rPr>
          <w:rFonts w:ascii="Arial" w:hAnsi="Arial" w:cs="Arial"/>
          <w:i w:val="0"/>
          <w:iCs/>
          <w:sz w:val="20"/>
          <w:szCs w:val="20"/>
        </w:rPr>
        <w:t>La v</w:t>
      </w:r>
      <w:r>
        <w:rPr>
          <w:rFonts w:ascii="Arial" w:hAnsi="Arial" w:cs="Arial"/>
          <w:i w:val="0"/>
          <w:iCs/>
          <w:sz w:val="20"/>
          <w:szCs w:val="20"/>
        </w:rPr>
        <w:t>ie universitaire</w:t>
      </w:r>
    </w:p>
    <w:p w14:paraId="05240D99" w14:textId="50540533" w:rsidR="007F0B88" w:rsidRDefault="007F0B88" w:rsidP="007F0B88">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La vie de campus</w:t>
      </w:r>
    </w:p>
    <w:p w14:paraId="58E916D1"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La vie de campus doit être riche de services aux étudiants, d'événements, d'opportunités, de lieux de rencontre, débat, d’échange, d'écoute, d'activités culturelles, citoyennes et solidaires. De manière </w:t>
      </w:r>
      <w:r w:rsidRPr="003B3FA3">
        <w:rPr>
          <w:rFonts w:ascii="Arial" w:hAnsi="Arial" w:cs="Arial"/>
          <w:iCs/>
          <w:sz w:val="20"/>
          <w:szCs w:val="20"/>
        </w:rPr>
        <w:lastRenderedPageBreak/>
        <w:t>générale, elle doit apporter aux étudiants et au personnel un confort pour mener à bien leurs études/vie professionnelle et faciliter leur vie quotidienne.</w:t>
      </w:r>
    </w:p>
    <w:p w14:paraId="011D487D" w14:textId="77777777" w:rsidR="003B3FA3" w:rsidRPr="003B3FA3" w:rsidRDefault="003B3FA3" w:rsidP="003B3FA3">
      <w:pPr>
        <w:pStyle w:val="Paragraphedeliste"/>
        <w:spacing w:line="276" w:lineRule="auto"/>
        <w:ind w:left="0"/>
        <w:jc w:val="both"/>
        <w:rPr>
          <w:rFonts w:ascii="Arial" w:hAnsi="Arial" w:cs="Arial"/>
          <w:iCs/>
          <w:sz w:val="20"/>
          <w:szCs w:val="20"/>
        </w:rPr>
      </w:pPr>
    </w:p>
    <w:p w14:paraId="5B72A0DA"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La vie de campus regroupe plusieurs types d’activités présentes sur le campus à savoir : </w:t>
      </w:r>
    </w:p>
    <w:p w14:paraId="5791A2F0" w14:textId="3E0018FE"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r w:rsidRPr="003B3FA3">
        <w:rPr>
          <w:rFonts w:ascii="Arial" w:hAnsi="Arial" w:cs="Arial"/>
          <w:iCs/>
          <w:sz w:val="20"/>
          <w:szCs w:val="20"/>
        </w:rPr>
        <w:t>Les Résidences étudiantes</w:t>
      </w:r>
    </w:p>
    <w:p w14:paraId="0924AB08" w14:textId="34F9EE7B"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r w:rsidRPr="003B3FA3">
        <w:rPr>
          <w:rFonts w:ascii="Arial" w:hAnsi="Arial" w:cs="Arial"/>
          <w:iCs/>
          <w:sz w:val="20"/>
          <w:szCs w:val="20"/>
        </w:rPr>
        <w:t>Les bibliothèques universitaires</w:t>
      </w:r>
    </w:p>
    <w:p w14:paraId="5EC1FD37" w14:textId="48C9B03B"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r w:rsidRPr="003B3FA3">
        <w:rPr>
          <w:rFonts w:ascii="Arial" w:hAnsi="Arial" w:cs="Arial"/>
          <w:iCs/>
          <w:sz w:val="20"/>
          <w:szCs w:val="20"/>
        </w:rPr>
        <w:t>Espaces de travail collaboratifs</w:t>
      </w:r>
    </w:p>
    <w:p w14:paraId="531C005E" w14:textId="08C03E23"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r w:rsidRPr="003B3FA3">
        <w:rPr>
          <w:rFonts w:ascii="Arial" w:hAnsi="Arial" w:cs="Arial"/>
          <w:iCs/>
          <w:sz w:val="20"/>
          <w:szCs w:val="20"/>
        </w:rPr>
        <w:t>La restauration</w:t>
      </w:r>
    </w:p>
    <w:p w14:paraId="74470ABC" w14:textId="2B7AA79C"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r w:rsidRPr="003B3FA3">
        <w:rPr>
          <w:rFonts w:ascii="Arial" w:hAnsi="Arial" w:cs="Arial"/>
          <w:iCs/>
          <w:sz w:val="20"/>
          <w:szCs w:val="20"/>
        </w:rPr>
        <w:t>Les équipements sportifs</w:t>
      </w:r>
    </w:p>
    <w:p w14:paraId="6473C069" w14:textId="1EA3851D"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proofErr w:type="gramStart"/>
      <w:r w:rsidRPr="003B3FA3">
        <w:rPr>
          <w:rFonts w:ascii="Arial" w:hAnsi="Arial" w:cs="Arial"/>
          <w:iCs/>
          <w:sz w:val="20"/>
          <w:szCs w:val="20"/>
        </w:rPr>
        <w:t>les</w:t>
      </w:r>
      <w:proofErr w:type="gramEnd"/>
      <w:r w:rsidRPr="003B3FA3">
        <w:rPr>
          <w:rFonts w:ascii="Arial" w:hAnsi="Arial" w:cs="Arial"/>
          <w:iCs/>
          <w:sz w:val="20"/>
          <w:szCs w:val="20"/>
        </w:rPr>
        <w:t xml:space="preserve"> espaces de convivialité intérieurs et extérieurs</w:t>
      </w:r>
    </w:p>
    <w:p w14:paraId="47A96E8F" w14:textId="7C2D7BA7"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r w:rsidRPr="003B3FA3">
        <w:rPr>
          <w:rFonts w:ascii="Arial" w:hAnsi="Arial" w:cs="Arial"/>
          <w:iCs/>
          <w:sz w:val="20"/>
          <w:szCs w:val="20"/>
        </w:rPr>
        <w:t>Les associations</w:t>
      </w:r>
    </w:p>
    <w:p w14:paraId="4A034BCD" w14:textId="751C580C" w:rsidR="003B3FA3" w:rsidRPr="003B3FA3" w:rsidRDefault="003B3FA3" w:rsidP="00041800">
      <w:pPr>
        <w:pStyle w:val="Paragraphedeliste"/>
        <w:numPr>
          <w:ilvl w:val="0"/>
          <w:numId w:val="14"/>
        </w:numPr>
        <w:spacing w:line="276" w:lineRule="auto"/>
        <w:ind w:left="851"/>
        <w:jc w:val="both"/>
        <w:rPr>
          <w:rFonts w:ascii="Arial" w:hAnsi="Arial" w:cs="Arial"/>
          <w:iCs/>
          <w:sz w:val="20"/>
          <w:szCs w:val="20"/>
        </w:rPr>
      </w:pPr>
      <w:r w:rsidRPr="003B3FA3">
        <w:rPr>
          <w:rFonts w:ascii="Arial" w:hAnsi="Arial" w:cs="Arial"/>
          <w:iCs/>
          <w:sz w:val="20"/>
          <w:szCs w:val="20"/>
        </w:rPr>
        <w:t>Les services de santé à destination des étudiants et du personnel</w:t>
      </w:r>
    </w:p>
    <w:p w14:paraId="7B7FC7DE" w14:textId="77777777" w:rsidR="003B3FA3" w:rsidRPr="003B3FA3" w:rsidRDefault="003B3FA3" w:rsidP="003B3FA3">
      <w:pPr>
        <w:pStyle w:val="Paragraphedeliste"/>
        <w:spacing w:line="276" w:lineRule="auto"/>
        <w:ind w:left="0"/>
        <w:jc w:val="both"/>
        <w:rPr>
          <w:rFonts w:ascii="Arial" w:hAnsi="Arial" w:cs="Arial"/>
          <w:iCs/>
          <w:sz w:val="20"/>
          <w:szCs w:val="20"/>
        </w:rPr>
      </w:pPr>
    </w:p>
    <w:p w14:paraId="70238C07" w14:textId="77777777" w:rsidR="003B3FA3" w:rsidRPr="003B3FA3" w:rsidRDefault="003B3FA3" w:rsidP="003B3FA3">
      <w:pPr>
        <w:pStyle w:val="Paragraphedeliste"/>
        <w:spacing w:line="276" w:lineRule="auto"/>
        <w:ind w:left="0"/>
        <w:jc w:val="both"/>
        <w:rPr>
          <w:rFonts w:ascii="Arial" w:hAnsi="Arial" w:cs="Arial"/>
          <w:iCs/>
          <w:sz w:val="20"/>
          <w:szCs w:val="20"/>
        </w:rPr>
      </w:pPr>
    </w:p>
    <w:p w14:paraId="1EBFD677"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La DVEEC (Direction de la Vie Etudiante et de l’Egalité des Chances) réalise actuellement une enquête auprès des étudiants dans le cadre de l’élaboration du SDVE (Schéma Directeur Vie Etudiante). Le SDVE sera le cadre de la politique vie étudiante de l’établissement pour les 5 prochaines années. Les résultats seront utiles pour le schéma directeur immobilier, pour cibler les besoins des étudiants. </w:t>
      </w:r>
    </w:p>
    <w:p w14:paraId="409358B0"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Par ailleurs, la DVEEC démarre également une Opération Pluriannuelle d’Investissement (budget 1M€ sur 5 ans) et travaille sur des projets d’aménagements de locaux vie étudiante sur l’ensemble des campus.</w:t>
      </w:r>
    </w:p>
    <w:p w14:paraId="6FBE4063"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Les financements de cette OPI s’inscrivent dans le cadre de la Contribution Vie Etudiante et de campus (CVEC). Cette dernière ne finance pas les espaces de formation, c’est pourquoi il sera privilégié de développer dans ce cadre les espaces de repos, loisir ou de développement de la vie étudiante. </w:t>
      </w:r>
    </w:p>
    <w:p w14:paraId="70B8F7BE" w14:textId="4E03A65B"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La DVEEC communiquera la synthèse de l'enquête SDVE pour l'inscrire dans </w:t>
      </w:r>
      <w:r>
        <w:rPr>
          <w:rFonts w:ascii="Arial" w:hAnsi="Arial" w:cs="Arial"/>
          <w:iCs/>
          <w:sz w:val="20"/>
          <w:szCs w:val="20"/>
        </w:rPr>
        <w:t>le SDI.</w:t>
      </w:r>
      <w:r w:rsidRPr="003B3FA3">
        <w:rPr>
          <w:rFonts w:ascii="Arial" w:hAnsi="Arial" w:cs="Arial"/>
          <w:iCs/>
          <w:sz w:val="20"/>
          <w:szCs w:val="20"/>
        </w:rPr>
        <w:t xml:space="preserve"> </w:t>
      </w:r>
    </w:p>
    <w:p w14:paraId="425848BC" w14:textId="030535E1"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Il est prévu de faire des points de suivi réguliers entre la DVEEC et la DAPI pour avancer de concert sur les sujets de vie étudiante. </w:t>
      </w:r>
      <w:commentRangeStart w:id="55"/>
      <w:r w:rsidRPr="003B3FA3">
        <w:rPr>
          <w:rFonts w:ascii="Arial" w:hAnsi="Arial" w:cs="Arial"/>
          <w:iCs/>
          <w:sz w:val="20"/>
          <w:szCs w:val="20"/>
        </w:rPr>
        <w:t>Le titulaire pourrait être amené à y participer.</w:t>
      </w:r>
      <w:commentRangeEnd w:id="55"/>
      <w:r>
        <w:rPr>
          <w:rStyle w:val="Marquedecommentaire"/>
        </w:rPr>
        <w:commentReference w:id="55"/>
      </w:r>
    </w:p>
    <w:p w14:paraId="5C4159F1" w14:textId="0EB2EEF0" w:rsidR="007F0B88" w:rsidRDefault="007F0B88" w:rsidP="003B3FA3">
      <w:pPr>
        <w:spacing w:line="276" w:lineRule="auto"/>
        <w:jc w:val="both"/>
        <w:rPr>
          <w:rFonts w:ascii="Arial" w:hAnsi="Arial" w:cs="Arial"/>
          <w:iCs/>
          <w:sz w:val="20"/>
          <w:szCs w:val="20"/>
        </w:rPr>
      </w:pPr>
    </w:p>
    <w:p w14:paraId="018534AC" w14:textId="747517A9" w:rsidR="003B3FA3" w:rsidRDefault="003B3FA3" w:rsidP="003B3FA3">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 xml:space="preserve">La </w:t>
      </w:r>
      <w:r>
        <w:rPr>
          <w:rFonts w:ascii="Arial" w:hAnsi="Arial" w:cs="Arial"/>
          <w:iCs/>
          <w:sz w:val="20"/>
          <w:szCs w:val="20"/>
          <w:u w:val="single"/>
        </w:rPr>
        <w:t>restauration</w:t>
      </w:r>
    </w:p>
    <w:p w14:paraId="4B19B783" w14:textId="34A20604" w:rsidR="003B3FA3" w:rsidRDefault="003B3FA3" w:rsidP="003B3FA3">
      <w:pPr>
        <w:pStyle w:val="Paragraphedeliste"/>
        <w:spacing w:line="276" w:lineRule="auto"/>
        <w:ind w:left="0"/>
        <w:jc w:val="both"/>
        <w:rPr>
          <w:rFonts w:ascii="Arial" w:hAnsi="Arial" w:cs="Arial"/>
          <w:iCs/>
          <w:sz w:val="20"/>
          <w:szCs w:val="20"/>
          <w:u w:val="single"/>
        </w:rPr>
      </w:pPr>
    </w:p>
    <w:p w14:paraId="7CB236E3"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La restauration étudiante est majoritairement assurée par le CROUS sur les différents campus de l’Université. Dans la vallée d’Orsay, l’offre de restauration est extrêmement tendue notamment par le fait que les emplois du temps des 1er cycle se sont jusqu’à présent imposé une pause méridienne commune, ce qui amplifie l’afflux d’étudiants entre 12h30 et 13h30. L’offre actuelle ne permet pas de répondre aux besoins. Un travail pourrait être fait sur les plannings des cours, l’impact sur la pause du midi sera évalué dans le cadre du schéma directeur 1er cycle en cours d’étude.</w:t>
      </w:r>
    </w:p>
    <w:p w14:paraId="5BF099E6"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De plus, le site de la vallée d’Orsay n’est à ce jour pas suffisamment « desservi » par le service de restauration. En effet, vu son étendue, des difficultés sont relevées par les étudiants qui n’ont pas le temps de se rendre au CROUS sur leur temps de pause.</w:t>
      </w:r>
    </w:p>
    <w:p w14:paraId="384CFB13" w14:textId="77777777" w:rsidR="003B3FA3" w:rsidRPr="003B3FA3" w:rsidRDefault="003B3FA3" w:rsidP="003B3FA3">
      <w:pPr>
        <w:pStyle w:val="Paragraphedeliste"/>
        <w:spacing w:line="276" w:lineRule="auto"/>
        <w:ind w:left="0"/>
        <w:jc w:val="both"/>
        <w:rPr>
          <w:rFonts w:ascii="Arial" w:hAnsi="Arial" w:cs="Arial"/>
          <w:iCs/>
          <w:sz w:val="20"/>
          <w:szCs w:val="20"/>
        </w:rPr>
      </w:pPr>
    </w:p>
    <w:p w14:paraId="7C48DEAA"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Dans la vallée d’Orsay également, la restauration des personnels est quant à elle principalement assurée par le Comité d’Entraide Sociale de la Faculté d’Orsay (CESFO) implanté dans le bâtiment 230. Elle est également accessible au personnel du CNRS. </w:t>
      </w:r>
    </w:p>
    <w:p w14:paraId="12932D00" w14:textId="77777777"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Le bâtiment 230 abrite le restaurant du CESFO de la vallée (compris cuisine), 2 logements vacants et des surfaces anciennement dédiées à la restauration du CROUS et libérées en 2020.</w:t>
      </w:r>
    </w:p>
    <w:p w14:paraId="33321B9D" w14:textId="16C34901"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Il a fait l’objet d’une étude de faisabilité en 2022 pour la mise en conformité et le redimensionnement de la cuisine et des salles de restauration, la mise en accessibilité et la rénovation thermique. La faisabilité prévoyait également la réaffectation des anciens locaux du CROUS pour l’implantation des locaux associatifs du CESFO actuellement situés au bâtiment préfabriqué 207B pour créer une</w:t>
      </w:r>
      <w:proofErr w:type="gramStart"/>
      <w:r w:rsidRPr="003B3FA3">
        <w:rPr>
          <w:rFonts w:ascii="Arial" w:hAnsi="Arial" w:cs="Arial"/>
          <w:iCs/>
          <w:sz w:val="20"/>
          <w:szCs w:val="20"/>
        </w:rPr>
        <w:t xml:space="preserve"> «maison</w:t>
      </w:r>
      <w:proofErr w:type="gramEnd"/>
      <w:r w:rsidRPr="003B3FA3">
        <w:rPr>
          <w:rFonts w:ascii="Arial" w:hAnsi="Arial" w:cs="Arial"/>
          <w:iCs/>
          <w:sz w:val="20"/>
          <w:szCs w:val="20"/>
        </w:rPr>
        <w:t xml:space="preserve"> du CESFO». L’étude </w:t>
      </w:r>
      <w:r w:rsidR="00EE35B5">
        <w:rPr>
          <w:rFonts w:ascii="Arial" w:hAnsi="Arial" w:cs="Arial"/>
          <w:iCs/>
          <w:sz w:val="20"/>
          <w:szCs w:val="20"/>
        </w:rPr>
        <w:t xml:space="preserve">a été </w:t>
      </w:r>
      <w:r w:rsidRPr="003B3FA3">
        <w:rPr>
          <w:rFonts w:ascii="Arial" w:hAnsi="Arial" w:cs="Arial"/>
          <w:iCs/>
          <w:sz w:val="20"/>
          <w:szCs w:val="20"/>
        </w:rPr>
        <w:t>arrêtée au stade de la faisabilité pour manque de financement.</w:t>
      </w:r>
    </w:p>
    <w:p w14:paraId="245A1BDF" w14:textId="77777777" w:rsidR="003B3FA3" w:rsidRPr="003B3FA3" w:rsidRDefault="003B3FA3" w:rsidP="003B3FA3">
      <w:pPr>
        <w:pStyle w:val="Paragraphedeliste"/>
        <w:spacing w:line="276" w:lineRule="auto"/>
        <w:ind w:left="0"/>
        <w:jc w:val="both"/>
        <w:rPr>
          <w:rFonts w:ascii="Arial" w:hAnsi="Arial" w:cs="Arial"/>
          <w:iCs/>
          <w:sz w:val="20"/>
          <w:szCs w:val="20"/>
        </w:rPr>
      </w:pPr>
    </w:p>
    <w:p w14:paraId="2FEBF894" w14:textId="54417ACA" w:rsidR="003B3FA3" w:rsidRP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Sur le plateau, le CESFO est pour le moment implanté dans le bâtiment 598, son implantation devra </w:t>
      </w:r>
      <w:r w:rsidR="00EE35B5">
        <w:rPr>
          <w:rFonts w:ascii="Arial" w:hAnsi="Arial" w:cs="Arial"/>
          <w:iCs/>
          <w:sz w:val="20"/>
          <w:szCs w:val="20"/>
        </w:rPr>
        <w:t>sera</w:t>
      </w:r>
      <w:r w:rsidRPr="003B3FA3">
        <w:rPr>
          <w:rFonts w:ascii="Arial" w:hAnsi="Arial" w:cs="Arial"/>
          <w:iCs/>
          <w:sz w:val="20"/>
          <w:szCs w:val="20"/>
        </w:rPr>
        <w:t xml:space="preserve"> requestionnée. L’offre de restauration sur le plateau est plus importante par ailleurs avec la présence de restaurants/cafétérias CROUS, brasseries…etc.</w:t>
      </w:r>
    </w:p>
    <w:p w14:paraId="0AAC12F2" w14:textId="77777777" w:rsidR="003B3FA3" w:rsidRPr="003B3FA3" w:rsidRDefault="003B3FA3" w:rsidP="003B3FA3">
      <w:pPr>
        <w:pStyle w:val="Paragraphedeliste"/>
        <w:spacing w:line="276" w:lineRule="auto"/>
        <w:ind w:left="0"/>
        <w:jc w:val="both"/>
        <w:rPr>
          <w:rFonts w:ascii="Arial" w:hAnsi="Arial" w:cs="Arial"/>
          <w:iCs/>
          <w:sz w:val="20"/>
          <w:szCs w:val="20"/>
        </w:rPr>
      </w:pPr>
    </w:p>
    <w:p w14:paraId="46CD90BC" w14:textId="04952FDD" w:rsidR="003B3FA3" w:rsidRDefault="003B3FA3" w:rsidP="003B3FA3">
      <w:pPr>
        <w:pStyle w:val="Paragraphedeliste"/>
        <w:spacing w:line="276" w:lineRule="auto"/>
        <w:ind w:left="0"/>
        <w:jc w:val="both"/>
        <w:rPr>
          <w:rFonts w:ascii="Arial" w:hAnsi="Arial" w:cs="Arial"/>
          <w:iCs/>
          <w:sz w:val="20"/>
          <w:szCs w:val="20"/>
        </w:rPr>
      </w:pPr>
      <w:r w:rsidRPr="003B3FA3">
        <w:rPr>
          <w:rFonts w:ascii="Arial" w:hAnsi="Arial" w:cs="Arial"/>
          <w:iCs/>
          <w:sz w:val="20"/>
          <w:szCs w:val="20"/>
        </w:rPr>
        <w:t xml:space="preserve">L’offre de restauration et les espaces de repas </w:t>
      </w:r>
      <w:r w:rsidR="00EE35B5">
        <w:rPr>
          <w:rFonts w:ascii="Arial" w:hAnsi="Arial" w:cs="Arial"/>
          <w:iCs/>
          <w:sz w:val="20"/>
          <w:szCs w:val="20"/>
        </w:rPr>
        <w:t>se</w:t>
      </w:r>
      <w:r w:rsidRPr="003B3FA3">
        <w:rPr>
          <w:rFonts w:ascii="Arial" w:hAnsi="Arial" w:cs="Arial"/>
          <w:iCs/>
          <w:sz w:val="20"/>
          <w:szCs w:val="20"/>
        </w:rPr>
        <w:t xml:space="preserve">ront étudiés </w:t>
      </w:r>
      <w:r w:rsidR="00EE35B5">
        <w:rPr>
          <w:rFonts w:ascii="Arial" w:hAnsi="Arial" w:cs="Arial"/>
          <w:iCs/>
          <w:sz w:val="20"/>
          <w:szCs w:val="20"/>
        </w:rPr>
        <w:t xml:space="preserve">dans le cadre du SDI </w:t>
      </w:r>
      <w:r w:rsidRPr="003B3FA3">
        <w:rPr>
          <w:rFonts w:ascii="Arial" w:hAnsi="Arial" w:cs="Arial"/>
          <w:iCs/>
          <w:sz w:val="20"/>
          <w:szCs w:val="20"/>
        </w:rPr>
        <w:t>sur l’ensemble des sites pour savoir s’ils sont suffisants ou non, et quels sont les dispositions à mettre en place pour mettre à niveau l’offre si nécessaire.</w:t>
      </w:r>
    </w:p>
    <w:p w14:paraId="6A59EC54" w14:textId="16CC3174" w:rsidR="00EE35B5" w:rsidRDefault="00EE35B5" w:rsidP="003B3FA3">
      <w:pPr>
        <w:pStyle w:val="Paragraphedeliste"/>
        <w:spacing w:line="276" w:lineRule="auto"/>
        <w:ind w:left="0"/>
        <w:jc w:val="both"/>
        <w:rPr>
          <w:rFonts w:ascii="Arial" w:hAnsi="Arial" w:cs="Arial"/>
          <w:iCs/>
          <w:sz w:val="20"/>
          <w:szCs w:val="20"/>
        </w:rPr>
      </w:pPr>
    </w:p>
    <w:p w14:paraId="227BAFE4" w14:textId="020D4294" w:rsidR="00EE35B5" w:rsidRDefault="00EE35B5" w:rsidP="00EE35B5">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L</w:t>
      </w:r>
      <w:r>
        <w:rPr>
          <w:rFonts w:ascii="Arial" w:hAnsi="Arial" w:cs="Arial"/>
          <w:iCs/>
          <w:sz w:val="20"/>
          <w:szCs w:val="20"/>
          <w:u w:val="single"/>
        </w:rPr>
        <w:t>es logements</w:t>
      </w:r>
    </w:p>
    <w:p w14:paraId="3291E7F0" w14:textId="42E239F6" w:rsidR="00EE35B5" w:rsidRDefault="00EE35B5" w:rsidP="003B3FA3">
      <w:pPr>
        <w:pStyle w:val="Paragraphedeliste"/>
        <w:spacing w:line="276" w:lineRule="auto"/>
        <w:ind w:left="0"/>
        <w:jc w:val="both"/>
        <w:rPr>
          <w:rFonts w:ascii="Arial" w:hAnsi="Arial" w:cs="Arial"/>
          <w:iCs/>
          <w:sz w:val="20"/>
          <w:szCs w:val="20"/>
        </w:rPr>
      </w:pPr>
    </w:p>
    <w:p w14:paraId="5A3B7E75" w14:textId="77777777" w:rsidR="00EE35B5" w:rsidRPr="00EE35B5" w:rsidRDefault="00EE35B5" w:rsidP="00EE35B5">
      <w:pPr>
        <w:pStyle w:val="Paragraphedeliste"/>
        <w:spacing w:line="276" w:lineRule="auto"/>
        <w:ind w:left="0"/>
        <w:jc w:val="both"/>
        <w:rPr>
          <w:rFonts w:ascii="Arial" w:hAnsi="Arial" w:cs="Arial"/>
          <w:iCs/>
          <w:sz w:val="20"/>
          <w:szCs w:val="20"/>
          <w:u w:val="single"/>
        </w:rPr>
      </w:pPr>
      <w:r w:rsidRPr="00EE35B5">
        <w:rPr>
          <w:rFonts w:ascii="Arial" w:hAnsi="Arial" w:cs="Arial"/>
          <w:iCs/>
          <w:sz w:val="20"/>
          <w:szCs w:val="20"/>
          <w:u w:val="single"/>
        </w:rPr>
        <w:t>Les logements étudiants :</w:t>
      </w:r>
    </w:p>
    <w:p w14:paraId="376F2CB1" w14:textId="77777777" w:rsidR="00EE35B5" w:rsidRPr="00EE35B5" w:rsidRDefault="00EE35B5" w:rsidP="00EE35B5">
      <w:pPr>
        <w:pStyle w:val="Paragraphedeliste"/>
        <w:spacing w:line="276" w:lineRule="auto"/>
        <w:ind w:left="0"/>
        <w:jc w:val="both"/>
        <w:rPr>
          <w:rFonts w:ascii="Arial" w:hAnsi="Arial" w:cs="Arial"/>
          <w:iCs/>
          <w:sz w:val="20"/>
          <w:szCs w:val="20"/>
        </w:rPr>
      </w:pPr>
      <w:r w:rsidRPr="00EE35B5">
        <w:rPr>
          <w:rFonts w:ascii="Arial" w:hAnsi="Arial" w:cs="Arial"/>
          <w:iCs/>
          <w:sz w:val="20"/>
          <w:szCs w:val="20"/>
        </w:rPr>
        <w:t xml:space="preserve">Des résidences du CROUS sont présentes sur chaque campus de l’Université Paris-Saclay et aux alentours des écoles et universités associées. </w:t>
      </w:r>
    </w:p>
    <w:p w14:paraId="3F124224" w14:textId="77777777" w:rsidR="00EE35B5" w:rsidRPr="00EE35B5" w:rsidRDefault="00EE35B5" w:rsidP="00EE35B5">
      <w:pPr>
        <w:pStyle w:val="Paragraphedeliste"/>
        <w:spacing w:line="276" w:lineRule="auto"/>
        <w:ind w:left="0"/>
        <w:jc w:val="both"/>
        <w:rPr>
          <w:rFonts w:ascii="Arial" w:hAnsi="Arial" w:cs="Arial"/>
          <w:iCs/>
          <w:sz w:val="20"/>
          <w:szCs w:val="20"/>
        </w:rPr>
      </w:pPr>
      <w:r w:rsidRPr="00EE35B5">
        <w:rPr>
          <w:rFonts w:ascii="Arial" w:hAnsi="Arial" w:cs="Arial"/>
          <w:iCs/>
          <w:sz w:val="20"/>
          <w:szCs w:val="20"/>
        </w:rPr>
        <w:t>Destinées aux étudiants possédant ou non une bourse, les logements proposés sont parmi les moins chers du marché.</w:t>
      </w:r>
    </w:p>
    <w:p w14:paraId="3A802FA0" w14:textId="77777777" w:rsidR="00EE35B5" w:rsidRPr="00EE35B5" w:rsidRDefault="00EE35B5" w:rsidP="00EE35B5">
      <w:pPr>
        <w:pStyle w:val="Paragraphedeliste"/>
        <w:spacing w:line="276" w:lineRule="auto"/>
        <w:ind w:left="0"/>
        <w:jc w:val="both"/>
        <w:rPr>
          <w:rFonts w:ascii="Arial" w:hAnsi="Arial" w:cs="Arial"/>
          <w:iCs/>
          <w:sz w:val="20"/>
          <w:szCs w:val="20"/>
        </w:rPr>
      </w:pPr>
      <w:r w:rsidRPr="00EE35B5">
        <w:rPr>
          <w:rFonts w:ascii="Arial" w:hAnsi="Arial" w:cs="Arial"/>
          <w:iCs/>
          <w:sz w:val="20"/>
          <w:szCs w:val="20"/>
        </w:rPr>
        <w:t xml:space="preserve">Les étudiants peuvent y trouver des chambres en colocation ainsi que des studios et des appartements T1 et T2. </w:t>
      </w:r>
    </w:p>
    <w:p w14:paraId="62AFF114" w14:textId="77777777" w:rsidR="00EE35B5" w:rsidRPr="00EE35B5" w:rsidRDefault="00EE35B5" w:rsidP="00EE35B5">
      <w:pPr>
        <w:pStyle w:val="Paragraphedeliste"/>
        <w:spacing w:line="276" w:lineRule="auto"/>
        <w:ind w:left="0"/>
        <w:jc w:val="both"/>
        <w:rPr>
          <w:rFonts w:ascii="Arial" w:hAnsi="Arial" w:cs="Arial"/>
          <w:iCs/>
          <w:sz w:val="20"/>
          <w:szCs w:val="20"/>
        </w:rPr>
      </w:pPr>
      <w:r w:rsidRPr="00EE35B5">
        <w:rPr>
          <w:rFonts w:ascii="Arial" w:hAnsi="Arial" w:cs="Arial"/>
          <w:iCs/>
          <w:sz w:val="20"/>
          <w:szCs w:val="20"/>
        </w:rPr>
        <w:t xml:space="preserve">Sur les territoires de l’Université Paris-Saclay, c’est majoritairement le CROUS de Versailles qui propose des résidences, mais sur certains campus se trouvent des résidences des CROUS de Créteil et de Paris. </w:t>
      </w:r>
    </w:p>
    <w:p w14:paraId="12C071F2" w14:textId="77777777" w:rsidR="00EE35B5" w:rsidRPr="00EE35B5" w:rsidRDefault="00EE35B5" w:rsidP="00EE35B5">
      <w:pPr>
        <w:pStyle w:val="Paragraphedeliste"/>
        <w:spacing w:line="276" w:lineRule="auto"/>
        <w:ind w:left="0"/>
        <w:jc w:val="both"/>
        <w:rPr>
          <w:rFonts w:ascii="Arial" w:hAnsi="Arial" w:cs="Arial"/>
          <w:iCs/>
          <w:sz w:val="20"/>
          <w:szCs w:val="20"/>
        </w:rPr>
      </w:pPr>
      <w:r w:rsidRPr="00EE35B5">
        <w:rPr>
          <w:rFonts w:ascii="Arial" w:hAnsi="Arial" w:cs="Arial"/>
          <w:iCs/>
          <w:sz w:val="20"/>
          <w:szCs w:val="20"/>
        </w:rPr>
        <w:t xml:space="preserve">A l’instar de la situation à l’échelle régionale, le logement étudiant est un enjeu important pour l’Université Paris-Saclay et plusieurs projets sont en cours ou programmés : </w:t>
      </w:r>
    </w:p>
    <w:p w14:paraId="7BE0170B" w14:textId="0A54807F" w:rsidR="00EE35B5" w:rsidRPr="00EE35B5" w:rsidRDefault="00EE35B5" w:rsidP="00041800">
      <w:pPr>
        <w:pStyle w:val="Paragraphedeliste"/>
        <w:numPr>
          <w:ilvl w:val="0"/>
          <w:numId w:val="15"/>
        </w:numPr>
        <w:spacing w:line="276" w:lineRule="auto"/>
        <w:jc w:val="both"/>
        <w:rPr>
          <w:rFonts w:ascii="Arial" w:hAnsi="Arial" w:cs="Arial"/>
          <w:iCs/>
          <w:sz w:val="20"/>
          <w:szCs w:val="20"/>
        </w:rPr>
      </w:pPr>
      <w:proofErr w:type="gramStart"/>
      <w:r w:rsidRPr="00EE35B5">
        <w:rPr>
          <w:rFonts w:ascii="Arial" w:hAnsi="Arial" w:cs="Arial"/>
          <w:iCs/>
          <w:sz w:val="20"/>
          <w:szCs w:val="20"/>
        </w:rPr>
        <w:t>la</w:t>
      </w:r>
      <w:proofErr w:type="gramEnd"/>
      <w:r w:rsidRPr="00EE35B5">
        <w:rPr>
          <w:rFonts w:ascii="Arial" w:hAnsi="Arial" w:cs="Arial"/>
          <w:iCs/>
          <w:sz w:val="20"/>
          <w:szCs w:val="20"/>
        </w:rPr>
        <w:t xml:space="preserve"> restructuration du bâtiment 470 par le CROUS, en cours de travaux</w:t>
      </w:r>
    </w:p>
    <w:p w14:paraId="5EE101CC" w14:textId="2CB2ABC6" w:rsidR="00EE35B5" w:rsidRPr="00EE35B5" w:rsidRDefault="00EE35B5" w:rsidP="00041800">
      <w:pPr>
        <w:pStyle w:val="Paragraphedeliste"/>
        <w:numPr>
          <w:ilvl w:val="0"/>
          <w:numId w:val="15"/>
        </w:numPr>
        <w:spacing w:line="276" w:lineRule="auto"/>
        <w:jc w:val="both"/>
        <w:rPr>
          <w:rFonts w:ascii="Arial" w:hAnsi="Arial" w:cs="Arial"/>
          <w:iCs/>
          <w:sz w:val="20"/>
          <w:szCs w:val="20"/>
        </w:rPr>
      </w:pPr>
      <w:proofErr w:type="gramStart"/>
      <w:r w:rsidRPr="00EE35B5">
        <w:rPr>
          <w:rFonts w:ascii="Arial" w:hAnsi="Arial" w:cs="Arial"/>
          <w:iCs/>
          <w:sz w:val="20"/>
          <w:szCs w:val="20"/>
        </w:rPr>
        <w:t>le</w:t>
      </w:r>
      <w:proofErr w:type="gramEnd"/>
      <w:r w:rsidRPr="00EE35B5">
        <w:rPr>
          <w:rFonts w:ascii="Arial" w:hAnsi="Arial" w:cs="Arial"/>
          <w:iCs/>
          <w:sz w:val="20"/>
          <w:szCs w:val="20"/>
        </w:rPr>
        <w:t xml:space="preserve"> projet de restructuration du bâtiment 460 par le CROUS dont les éventuels travaux pourraient démarrer en 2028, le temps que les locaux encore occupés par l’Université soient déplacés dans un ou plusieurs bâtiments à rénover</w:t>
      </w:r>
    </w:p>
    <w:p w14:paraId="790ED23D" w14:textId="5DA5B976" w:rsidR="00EE35B5" w:rsidRPr="00EE35B5" w:rsidRDefault="00EE35B5" w:rsidP="00041800">
      <w:pPr>
        <w:pStyle w:val="Paragraphedeliste"/>
        <w:numPr>
          <w:ilvl w:val="0"/>
          <w:numId w:val="15"/>
        </w:numPr>
        <w:spacing w:line="276" w:lineRule="auto"/>
        <w:jc w:val="both"/>
        <w:rPr>
          <w:rFonts w:ascii="Arial" w:hAnsi="Arial" w:cs="Arial"/>
          <w:iCs/>
          <w:sz w:val="20"/>
          <w:szCs w:val="20"/>
        </w:rPr>
      </w:pPr>
      <w:proofErr w:type="gramStart"/>
      <w:r w:rsidRPr="00EE35B5">
        <w:rPr>
          <w:rFonts w:ascii="Arial" w:hAnsi="Arial" w:cs="Arial"/>
          <w:iCs/>
          <w:sz w:val="20"/>
          <w:szCs w:val="20"/>
        </w:rPr>
        <w:t>la</w:t>
      </w:r>
      <w:proofErr w:type="gramEnd"/>
      <w:r w:rsidRPr="00EE35B5">
        <w:rPr>
          <w:rFonts w:ascii="Arial" w:hAnsi="Arial" w:cs="Arial"/>
          <w:iCs/>
          <w:sz w:val="20"/>
          <w:szCs w:val="20"/>
        </w:rPr>
        <w:t xml:space="preserve"> rénovation par le CROUS de la Résidence de la </w:t>
      </w:r>
      <w:proofErr w:type="spellStart"/>
      <w:r w:rsidRPr="00EE35B5">
        <w:rPr>
          <w:rFonts w:ascii="Arial" w:hAnsi="Arial" w:cs="Arial"/>
          <w:iCs/>
          <w:sz w:val="20"/>
          <w:szCs w:val="20"/>
        </w:rPr>
        <w:t>Pacaterie</w:t>
      </w:r>
      <w:proofErr w:type="spellEnd"/>
      <w:r w:rsidRPr="00EE35B5">
        <w:rPr>
          <w:rFonts w:ascii="Arial" w:hAnsi="Arial" w:cs="Arial"/>
          <w:iCs/>
          <w:sz w:val="20"/>
          <w:szCs w:val="20"/>
        </w:rPr>
        <w:t>, en cours</w:t>
      </w:r>
    </w:p>
    <w:p w14:paraId="48A453EA" w14:textId="69C2E524" w:rsidR="00EE35B5" w:rsidRPr="00EE35B5" w:rsidRDefault="00EE35B5" w:rsidP="00041800">
      <w:pPr>
        <w:pStyle w:val="Paragraphedeliste"/>
        <w:numPr>
          <w:ilvl w:val="0"/>
          <w:numId w:val="15"/>
        </w:numPr>
        <w:spacing w:line="276" w:lineRule="auto"/>
        <w:jc w:val="both"/>
        <w:rPr>
          <w:rFonts w:ascii="Arial" w:hAnsi="Arial" w:cs="Arial"/>
          <w:iCs/>
          <w:sz w:val="20"/>
          <w:szCs w:val="20"/>
        </w:rPr>
      </w:pPr>
      <w:proofErr w:type="gramStart"/>
      <w:r w:rsidRPr="00EE35B5">
        <w:rPr>
          <w:rFonts w:ascii="Arial" w:hAnsi="Arial" w:cs="Arial"/>
          <w:iCs/>
          <w:sz w:val="20"/>
          <w:szCs w:val="20"/>
        </w:rPr>
        <w:t>un</w:t>
      </w:r>
      <w:proofErr w:type="gramEnd"/>
      <w:r w:rsidRPr="00EE35B5">
        <w:rPr>
          <w:rFonts w:ascii="Arial" w:hAnsi="Arial" w:cs="Arial"/>
          <w:iCs/>
          <w:sz w:val="20"/>
          <w:szCs w:val="20"/>
        </w:rPr>
        <w:t xml:space="preserve"> Appel à Manifestation d’Intérêt (AMI) en cours pour la transformation des bâtiments 400/403, 410/415 et 420 en résidence universitaire.</w:t>
      </w:r>
    </w:p>
    <w:p w14:paraId="63340542" w14:textId="724E6BAC" w:rsidR="00EE35B5" w:rsidRPr="00EE35B5" w:rsidRDefault="00EE35B5" w:rsidP="00041800">
      <w:pPr>
        <w:pStyle w:val="Paragraphedeliste"/>
        <w:numPr>
          <w:ilvl w:val="0"/>
          <w:numId w:val="15"/>
        </w:numPr>
        <w:spacing w:line="276" w:lineRule="auto"/>
        <w:jc w:val="both"/>
        <w:rPr>
          <w:rFonts w:ascii="Arial" w:hAnsi="Arial" w:cs="Arial"/>
          <w:iCs/>
          <w:sz w:val="20"/>
          <w:szCs w:val="20"/>
        </w:rPr>
      </w:pPr>
      <w:proofErr w:type="gramStart"/>
      <w:r w:rsidRPr="00EE35B5">
        <w:rPr>
          <w:rFonts w:ascii="Arial" w:hAnsi="Arial" w:cs="Arial"/>
          <w:iCs/>
          <w:sz w:val="20"/>
          <w:szCs w:val="20"/>
        </w:rPr>
        <w:t>la</w:t>
      </w:r>
      <w:proofErr w:type="gramEnd"/>
      <w:r w:rsidRPr="00EE35B5">
        <w:rPr>
          <w:rFonts w:ascii="Arial" w:hAnsi="Arial" w:cs="Arial"/>
          <w:iCs/>
          <w:sz w:val="20"/>
          <w:szCs w:val="20"/>
        </w:rPr>
        <w:t xml:space="preserve"> construction d’une résidence universitaire par le CROUS sur le petit plateau avec une date de livraison prévue pour 2027</w:t>
      </w:r>
    </w:p>
    <w:p w14:paraId="5DBA993B" w14:textId="77777777" w:rsidR="00EE35B5" w:rsidRPr="00EE35B5" w:rsidRDefault="00EE35B5" w:rsidP="00EE35B5">
      <w:pPr>
        <w:pStyle w:val="Paragraphedeliste"/>
        <w:spacing w:line="276" w:lineRule="auto"/>
        <w:ind w:left="0"/>
        <w:jc w:val="both"/>
        <w:rPr>
          <w:rFonts w:ascii="Arial" w:hAnsi="Arial" w:cs="Arial"/>
          <w:iCs/>
          <w:sz w:val="20"/>
          <w:szCs w:val="20"/>
        </w:rPr>
      </w:pPr>
    </w:p>
    <w:p w14:paraId="5A95479F" w14:textId="77777777" w:rsidR="00EE35B5" w:rsidRPr="00EE35B5" w:rsidRDefault="00EE35B5" w:rsidP="00EE35B5">
      <w:pPr>
        <w:pStyle w:val="Paragraphedeliste"/>
        <w:spacing w:line="276" w:lineRule="auto"/>
        <w:ind w:left="0"/>
        <w:jc w:val="both"/>
        <w:rPr>
          <w:rFonts w:ascii="Arial" w:hAnsi="Arial" w:cs="Arial"/>
          <w:iCs/>
          <w:sz w:val="20"/>
          <w:szCs w:val="20"/>
          <w:u w:val="single"/>
        </w:rPr>
      </w:pPr>
      <w:r w:rsidRPr="00EE35B5">
        <w:rPr>
          <w:rFonts w:ascii="Arial" w:hAnsi="Arial" w:cs="Arial"/>
          <w:iCs/>
          <w:sz w:val="20"/>
          <w:szCs w:val="20"/>
          <w:u w:val="single"/>
        </w:rPr>
        <w:t>Les logements solidaires :</w:t>
      </w:r>
    </w:p>
    <w:p w14:paraId="2BE97AC6" w14:textId="77777777" w:rsidR="00EE35B5" w:rsidRPr="00EE35B5" w:rsidRDefault="00EE35B5" w:rsidP="00EE35B5">
      <w:pPr>
        <w:pStyle w:val="Paragraphedeliste"/>
        <w:spacing w:line="276" w:lineRule="auto"/>
        <w:ind w:left="0"/>
        <w:jc w:val="both"/>
        <w:rPr>
          <w:rFonts w:ascii="Arial" w:hAnsi="Arial" w:cs="Arial"/>
          <w:iCs/>
          <w:sz w:val="20"/>
          <w:szCs w:val="20"/>
        </w:rPr>
      </w:pPr>
      <w:r w:rsidRPr="00EE35B5">
        <w:rPr>
          <w:rFonts w:ascii="Arial" w:hAnsi="Arial" w:cs="Arial"/>
          <w:iCs/>
          <w:sz w:val="20"/>
          <w:szCs w:val="20"/>
        </w:rPr>
        <w:t>Les bâtiments 236, 236 bis et 237 situés dans la vallée d’Orsay accueillent du logement solidaire depuis 2019. L’association CARITAS bénéficie d’une AOT qui prendra fin en …</w:t>
      </w:r>
    </w:p>
    <w:p w14:paraId="3717D9DE" w14:textId="77777777" w:rsidR="00EE35B5" w:rsidRPr="00EE35B5" w:rsidRDefault="00EE35B5" w:rsidP="00EE35B5">
      <w:pPr>
        <w:pStyle w:val="Paragraphedeliste"/>
        <w:spacing w:line="276" w:lineRule="auto"/>
        <w:ind w:left="0"/>
        <w:jc w:val="both"/>
        <w:rPr>
          <w:rFonts w:ascii="Arial" w:hAnsi="Arial" w:cs="Arial"/>
          <w:iCs/>
          <w:sz w:val="20"/>
          <w:szCs w:val="20"/>
        </w:rPr>
      </w:pPr>
      <w:r w:rsidRPr="00EE35B5">
        <w:rPr>
          <w:rFonts w:ascii="Arial" w:hAnsi="Arial" w:cs="Arial"/>
          <w:iCs/>
          <w:sz w:val="20"/>
          <w:szCs w:val="20"/>
        </w:rPr>
        <w:t>Ces bâtiments en préfabriqué devraient être démolis à moyen terme. L’accueil de logements solidaires sur d’autres bâtiments pourra être requestionné.</w:t>
      </w:r>
    </w:p>
    <w:p w14:paraId="7BD668E8" w14:textId="63E2F89E" w:rsidR="00EE35B5" w:rsidRDefault="00EE35B5" w:rsidP="00EE35B5">
      <w:pPr>
        <w:pStyle w:val="Paragraphedeliste"/>
        <w:spacing w:line="276" w:lineRule="auto"/>
        <w:ind w:left="0"/>
        <w:jc w:val="both"/>
        <w:rPr>
          <w:rFonts w:ascii="Arial" w:hAnsi="Arial" w:cs="Arial"/>
          <w:iCs/>
          <w:sz w:val="20"/>
          <w:szCs w:val="20"/>
        </w:rPr>
      </w:pPr>
    </w:p>
    <w:p w14:paraId="6AC5AC6A" w14:textId="7FD6A772" w:rsidR="00EE35B5" w:rsidRDefault="00EE35B5" w:rsidP="00EE35B5">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L</w:t>
      </w:r>
      <w:r>
        <w:rPr>
          <w:rFonts w:ascii="Arial" w:hAnsi="Arial" w:cs="Arial"/>
          <w:iCs/>
          <w:sz w:val="20"/>
          <w:szCs w:val="20"/>
          <w:u w:val="single"/>
        </w:rPr>
        <w:t>a santé</w:t>
      </w:r>
    </w:p>
    <w:p w14:paraId="68E2CA0E" w14:textId="771C11F5" w:rsidR="00B23D3D" w:rsidRDefault="00B23D3D" w:rsidP="00EE35B5">
      <w:pPr>
        <w:pStyle w:val="Paragraphedeliste"/>
        <w:spacing w:line="276" w:lineRule="auto"/>
        <w:ind w:left="0"/>
        <w:jc w:val="both"/>
        <w:rPr>
          <w:rFonts w:ascii="Arial" w:hAnsi="Arial" w:cs="Arial"/>
          <w:iCs/>
          <w:sz w:val="20"/>
          <w:szCs w:val="20"/>
          <w:u w:val="single"/>
        </w:rPr>
      </w:pPr>
    </w:p>
    <w:p w14:paraId="701B7604"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 Service de Santé des Etudiants, implanté dans les différents sites de l’Université, est constitué de médecins, d’infirmiers, de psychologues et assure les services suivants :</w:t>
      </w:r>
    </w:p>
    <w:p w14:paraId="688B584C" w14:textId="50C9B704" w:rsidR="00B23D3D" w:rsidRPr="00B23D3D" w:rsidRDefault="00B23D3D" w:rsidP="00041800">
      <w:pPr>
        <w:pStyle w:val="Paragraphedeliste"/>
        <w:numPr>
          <w:ilvl w:val="0"/>
          <w:numId w:val="16"/>
        </w:numPr>
        <w:spacing w:line="276" w:lineRule="auto"/>
        <w:jc w:val="both"/>
        <w:rPr>
          <w:rFonts w:ascii="Arial" w:hAnsi="Arial" w:cs="Arial"/>
          <w:iCs/>
          <w:sz w:val="20"/>
          <w:szCs w:val="20"/>
        </w:rPr>
      </w:pPr>
      <w:r w:rsidRPr="00B23D3D">
        <w:rPr>
          <w:rFonts w:ascii="Arial" w:hAnsi="Arial" w:cs="Arial"/>
          <w:iCs/>
          <w:sz w:val="20"/>
          <w:szCs w:val="20"/>
        </w:rPr>
        <w:t>Consultation médicale de détection et d’orientation</w:t>
      </w:r>
    </w:p>
    <w:p w14:paraId="44C73FF0" w14:textId="5362CF94" w:rsidR="00B23D3D" w:rsidRPr="00B23D3D" w:rsidRDefault="00B23D3D" w:rsidP="00041800">
      <w:pPr>
        <w:pStyle w:val="Paragraphedeliste"/>
        <w:numPr>
          <w:ilvl w:val="0"/>
          <w:numId w:val="16"/>
        </w:numPr>
        <w:spacing w:line="276" w:lineRule="auto"/>
        <w:jc w:val="both"/>
        <w:rPr>
          <w:rFonts w:ascii="Arial" w:hAnsi="Arial" w:cs="Arial"/>
          <w:iCs/>
          <w:sz w:val="20"/>
          <w:szCs w:val="20"/>
        </w:rPr>
      </w:pPr>
      <w:r w:rsidRPr="00B23D3D">
        <w:rPr>
          <w:rFonts w:ascii="Arial" w:hAnsi="Arial" w:cs="Arial"/>
          <w:iCs/>
          <w:sz w:val="20"/>
          <w:szCs w:val="20"/>
        </w:rPr>
        <w:t>Consultation d’addictologie</w:t>
      </w:r>
    </w:p>
    <w:p w14:paraId="2AECBC58" w14:textId="07D32C86" w:rsidR="00B23D3D" w:rsidRPr="00B23D3D" w:rsidRDefault="00B23D3D" w:rsidP="00041800">
      <w:pPr>
        <w:pStyle w:val="Paragraphedeliste"/>
        <w:numPr>
          <w:ilvl w:val="0"/>
          <w:numId w:val="16"/>
        </w:numPr>
        <w:spacing w:line="276" w:lineRule="auto"/>
        <w:jc w:val="both"/>
        <w:rPr>
          <w:rFonts w:ascii="Arial" w:hAnsi="Arial" w:cs="Arial"/>
          <w:iCs/>
          <w:sz w:val="20"/>
          <w:szCs w:val="20"/>
        </w:rPr>
      </w:pPr>
      <w:r w:rsidRPr="00B23D3D">
        <w:rPr>
          <w:rFonts w:ascii="Arial" w:hAnsi="Arial" w:cs="Arial"/>
          <w:iCs/>
          <w:sz w:val="20"/>
          <w:szCs w:val="20"/>
        </w:rPr>
        <w:t>Entretien avec des psychologues : santé mentale, anxiété, trouble du sommeil, gestion du stress</w:t>
      </w:r>
    </w:p>
    <w:p w14:paraId="570253DC" w14:textId="36C0C400" w:rsidR="00B23D3D" w:rsidRPr="00B23D3D" w:rsidRDefault="00B23D3D" w:rsidP="00041800">
      <w:pPr>
        <w:pStyle w:val="Paragraphedeliste"/>
        <w:numPr>
          <w:ilvl w:val="0"/>
          <w:numId w:val="16"/>
        </w:numPr>
        <w:spacing w:line="276" w:lineRule="auto"/>
        <w:jc w:val="both"/>
        <w:rPr>
          <w:rFonts w:ascii="Arial" w:hAnsi="Arial" w:cs="Arial"/>
          <w:iCs/>
          <w:sz w:val="20"/>
          <w:szCs w:val="20"/>
        </w:rPr>
      </w:pPr>
      <w:r w:rsidRPr="00B23D3D">
        <w:rPr>
          <w:rFonts w:ascii="Arial" w:hAnsi="Arial" w:cs="Arial"/>
          <w:iCs/>
          <w:sz w:val="20"/>
          <w:szCs w:val="20"/>
        </w:rPr>
        <w:t>Aide nutritionnelle</w:t>
      </w:r>
    </w:p>
    <w:p w14:paraId="0F57FB3D" w14:textId="627D52DE" w:rsidR="00B23D3D" w:rsidRPr="00B23D3D" w:rsidRDefault="00B23D3D" w:rsidP="00041800">
      <w:pPr>
        <w:pStyle w:val="Paragraphedeliste"/>
        <w:numPr>
          <w:ilvl w:val="0"/>
          <w:numId w:val="16"/>
        </w:numPr>
        <w:spacing w:line="276" w:lineRule="auto"/>
        <w:jc w:val="both"/>
        <w:rPr>
          <w:rFonts w:ascii="Arial" w:hAnsi="Arial" w:cs="Arial"/>
          <w:iCs/>
          <w:sz w:val="20"/>
          <w:szCs w:val="20"/>
        </w:rPr>
      </w:pPr>
      <w:r w:rsidRPr="00B23D3D">
        <w:rPr>
          <w:rFonts w:ascii="Arial" w:hAnsi="Arial" w:cs="Arial"/>
          <w:iCs/>
          <w:sz w:val="20"/>
          <w:szCs w:val="20"/>
        </w:rPr>
        <w:t>Campagnes de prévention</w:t>
      </w:r>
    </w:p>
    <w:p w14:paraId="3D4DFE3F"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 SSE intervient également dans l’aménagement d’études et d’examen des étudiants en situation de handicap.</w:t>
      </w:r>
    </w:p>
    <w:p w14:paraId="741F7B5E"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76CCC619"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lastRenderedPageBreak/>
        <w:t xml:space="preserve">Le Schéma Directeur Vie étudiante mené par la DVEEC a donné lieu à la réalisation d’un questionnaire interrogeant les étudiants (environ 2000 répondants) sur leur connaissance de l’offre de santé de l’Université, ainsi que sur leurs besoins dans ce domaine. </w:t>
      </w:r>
    </w:p>
    <w:p w14:paraId="28D89E27"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Sur le campus de la Vallée d’Orsay, les étudiants et personnels sont reçus respectivement aux bâtiment 452 et 336. Le service de la Mission Handicap est situé également au 300. Par ailleurs, chaque site possède un accueil.</w:t>
      </w:r>
    </w:p>
    <w:p w14:paraId="1937F565"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La localisation et la nature de ces accueils seront à requestionner.</w:t>
      </w:r>
    </w:p>
    <w:p w14:paraId="12CDD226"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0AE9CB2F" w14:textId="7D03C6F4"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 xml:space="preserve">Par ailleurs, un projet de création d’une Maison de Santé commune à l’ensemble de l’Université Paris-Saclay (périmètre élargi à 14) est en cours de réflexion. Celle-ci serait implantée sur le Plateau dans le bâtiment du </w:t>
      </w:r>
      <w:proofErr w:type="spellStart"/>
      <w:r w:rsidRPr="00B23D3D">
        <w:rPr>
          <w:rFonts w:ascii="Arial" w:hAnsi="Arial" w:cs="Arial"/>
          <w:iCs/>
          <w:sz w:val="20"/>
          <w:szCs w:val="20"/>
        </w:rPr>
        <w:t>Bréguet</w:t>
      </w:r>
      <w:proofErr w:type="spellEnd"/>
      <w:r w:rsidRPr="00B23D3D">
        <w:rPr>
          <w:rFonts w:ascii="Arial" w:hAnsi="Arial" w:cs="Arial"/>
          <w:iCs/>
          <w:sz w:val="20"/>
          <w:szCs w:val="20"/>
        </w:rPr>
        <w:t xml:space="preserve"> de l’école </w:t>
      </w:r>
      <w:proofErr w:type="spellStart"/>
      <w:r w:rsidRPr="00B23D3D">
        <w:rPr>
          <w:rFonts w:ascii="Arial" w:hAnsi="Arial" w:cs="Arial"/>
          <w:iCs/>
          <w:sz w:val="20"/>
          <w:szCs w:val="20"/>
        </w:rPr>
        <w:t>Centrale-Supélec</w:t>
      </w:r>
      <w:proofErr w:type="spellEnd"/>
      <w:r w:rsidRPr="00B23D3D">
        <w:rPr>
          <w:rFonts w:ascii="Arial" w:hAnsi="Arial" w:cs="Arial"/>
          <w:iCs/>
          <w:sz w:val="20"/>
          <w:szCs w:val="20"/>
        </w:rPr>
        <w:t xml:space="preserve"> et regrouperait des permanences pour le centre de santé sexuelle d’Orsay, des « antennes » de l’assistance sociale et du service handicap étudiant, des cabinets de consultation médicale, une infirmerie ainsi que des locaux pour le service de médecine de prévention. L’impact sur les locaux existants n’est pas totalement identifié.</w:t>
      </w:r>
    </w:p>
    <w:p w14:paraId="2A9F6D06" w14:textId="41265220" w:rsidR="00B23D3D" w:rsidRPr="00B23D3D" w:rsidRDefault="00B23D3D" w:rsidP="00EE35B5">
      <w:pPr>
        <w:pStyle w:val="Paragraphedeliste"/>
        <w:spacing w:line="276" w:lineRule="auto"/>
        <w:ind w:left="0"/>
        <w:jc w:val="both"/>
        <w:rPr>
          <w:rFonts w:ascii="Arial" w:hAnsi="Arial" w:cs="Arial"/>
          <w:iCs/>
          <w:sz w:val="20"/>
          <w:szCs w:val="20"/>
        </w:rPr>
      </w:pPr>
    </w:p>
    <w:p w14:paraId="07286923" w14:textId="34560BCD" w:rsidR="00B23D3D" w:rsidRDefault="00B23D3D" w:rsidP="00EE35B5">
      <w:pPr>
        <w:pStyle w:val="Paragraphedeliste"/>
        <w:spacing w:line="276" w:lineRule="auto"/>
        <w:ind w:left="0"/>
        <w:jc w:val="both"/>
        <w:rPr>
          <w:rFonts w:ascii="Arial" w:hAnsi="Arial" w:cs="Arial"/>
          <w:iCs/>
          <w:sz w:val="20"/>
          <w:szCs w:val="20"/>
          <w:u w:val="single"/>
        </w:rPr>
      </w:pPr>
    </w:p>
    <w:p w14:paraId="454C0FF7" w14:textId="04233235" w:rsidR="00B23D3D" w:rsidRDefault="00B23D3D" w:rsidP="00B23D3D">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Les</w:t>
      </w:r>
      <w:r>
        <w:rPr>
          <w:rFonts w:ascii="Arial" w:hAnsi="Arial" w:cs="Arial"/>
          <w:iCs/>
          <w:sz w:val="20"/>
          <w:szCs w:val="20"/>
          <w:u w:val="single"/>
        </w:rPr>
        <w:t xml:space="preserve"> associations et organisations syndicales</w:t>
      </w:r>
    </w:p>
    <w:p w14:paraId="640F9821" w14:textId="77777777" w:rsidR="00B23D3D" w:rsidRDefault="00B23D3D" w:rsidP="00EE35B5">
      <w:pPr>
        <w:pStyle w:val="Paragraphedeliste"/>
        <w:spacing w:line="276" w:lineRule="auto"/>
        <w:ind w:left="0"/>
        <w:jc w:val="both"/>
        <w:rPr>
          <w:rFonts w:ascii="Arial" w:hAnsi="Arial" w:cs="Arial"/>
          <w:iCs/>
          <w:sz w:val="20"/>
          <w:szCs w:val="20"/>
          <w:u w:val="single"/>
        </w:rPr>
      </w:pPr>
    </w:p>
    <w:p w14:paraId="7288F6DB" w14:textId="713BF0BD"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 xml:space="preserve">De nombreuses associations sportives, sociales et culturelles sont implantées sur les campus (94 recensées à ce jour sur l’ensemble du territoire Paris Saclay « périmètre employeur »), dont 28 implantées sur le campus d’Orsay-Bures-Gif. Certaines, à l’instar du CESFO, disposent de locaux mis à disposition par l’Université. </w:t>
      </w:r>
    </w:p>
    <w:p w14:paraId="0B731A09"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 xml:space="preserve">Sur le site de la vallée d’Orsay, le bâtiment 399 (historiquement appelé « la maison des Paris </w:t>
      </w:r>
      <w:proofErr w:type="spellStart"/>
      <w:r w:rsidRPr="00B23D3D">
        <w:rPr>
          <w:rFonts w:ascii="Arial" w:hAnsi="Arial" w:cs="Arial"/>
          <w:iCs/>
          <w:sz w:val="20"/>
          <w:szCs w:val="20"/>
        </w:rPr>
        <w:t>Sudiens</w:t>
      </w:r>
      <w:proofErr w:type="spellEnd"/>
      <w:r w:rsidRPr="00B23D3D">
        <w:rPr>
          <w:rFonts w:ascii="Arial" w:hAnsi="Arial" w:cs="Arial"/>
          <w:iCs/>
          <w:sz w:val="20"/>
          <w:szCs w:val="20"/>
        </w:rPr>
        <w:t xml:space="preserve"> - MAPS) est dédié aux associations étudiantes. Son fonctionnement est géré par les étudiants membres d’associations. L’accueil fait aux étudiants et les évènements organisés pourraient être mieux mis en valeur. L’objectif serait d’améliorer la visibilité de ce lieu d’accueil et d’éventuellement proposer d’autres usages pour répondre aux besoins des étudiants. Ces évolutions seront à envisager avec ces premiers concernés.</w:t>
      </w:r>
    </w:p>
    <w:p w14:paraId="59BA8317"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6343EF8E"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De manière plus large, la vie associative s’adresse également aux personnels de l’Université.</w:t>
      </w:r>
    </w:p>
    <w:p w14:paraId="404A117F"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748E1917"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En particulier, l’association du CESFO gère les activités suivantes :</w:t>
      </w:r>
    </w:p>
    <w:p w14:paraId="0A656D09" w14:textId="5C91ADA0" w:rsidR="00B23D3D" w:rsidRPr="00B23D3D" w:rsidRDefault="00B23D3D" w:rsidP="00041800">
      <w:pPr>
        <w:pStyle w:val="Paragraphedeliste"/>
        <w:numPr>
          <w:ilvl w:val="0"/>
          <w:numId w:val="17"/>
        </w:numPr>
        <w:spacing w:line="276" w:lineRule="auto"/>
        <w:jc w:val="both"/>
        <w:rPr>
          <w:rFonts w:ascii="Arial" w:hAnsi="Arial" w:cs="Arial"/>
          <w:iCs/>
          <w:sz w:val="20"/>
          <w:szCs w:val="20"/>
        </w:rPr>
      </w:pPr>
      <w:r w:rsidRPr="00B23D3D">
        <w:rPr>
          <w:rFonts w:ascii="Arial" w:hAnsi="Arial" w:cs="Arial"/>
          <w:iCs/>
          <w:sz w:val="20"/>
          <w:szCs w:val="20"/>
        </w:rPr>
        <w:t>L’accueil des enfants avec le centre de loisirs ouvert les mercredis et les vacances scolaires. Ce centre implanté dans le bâtiment 303 accueille les enfants de la ville d’Orsay, du personnel de l’Université et du CNRS.</w:t>
      </w:r>
    </w:p>
    <w:p w14:paraId="7014B87A" w14:textId="3FF80F22" w:rsidR="00B23D3D" w:rsidRPr="00B23D3D" w:rsidRDefault="00B23D3D" w:rsidP="00041800">
      <w:pPr>
        <w:pStyle w:val="Paragraphedeliste"/>
        <w:numPr>
          <w:ilvl w:val="0"/>
          <w:numId w:val="17"/>
        </w:numPr>
        <w:spacing w:line="276" w:lineRule="auto"/>
        <w:jc w:val="both"/>
        <w:rPr>
          <w:rFonts w:ascii="Arial" w:hAnsi="Arial" w:cs="Arial"/>
          <w:iCs/>
          <w:sz w:val="20"/>
          <w:szCs w:val="20"/>
        </w:rPr>
      </w:pPr>
      <w:r w:rsidRPr="00B23D3D">
        <w:rPr>
          <w:rFonts w:ascii="Arial" w:hAnsi="Arial" w:cs="Arial"/>
          <w:iCs/>
          <w:sz w:val="20"/>
          <w:szCs w:val="20"/>
        </w:rPr>
        <w:t>Des activité artistiques (céramique, peinture, vitrail, photographie…) abritées au bâtiment 304 et 207B (bâtiment préfabriqué)</w:t>
      </w:r>
    </w:p>
    <w:p w14:paraId="65F601BA" w14:textId="764F1B43" w:rsidR="00B23D3D" w:rsidRPr="00B23D3D" w:rsidRDefault="00B23D3D" w:rsidP="00041800">
      <w:pPr>
        <w:pStyle w:val="Paragraphedeliste"/>
        <w:numPr>
          <w:ilvl w:val="0"/>
          <w:numId w:val="17"/>
        </w:numPr>
        <w:spacing w:line="276" w:lineRule="auto"/>
        <w:jc w:val="both"/>
        <w:rPr>
          <w:rFonts w:ascii="Arial" w:hAnsi="Arial" w:cs="Arial"/>
          <w:iCs/>
          <w:sz w:val="20"/>
          <w:szCs w:val="20"/>
        </w:rPr>
      </w:pPr>
      <w:r w:rsidRPr="00B23D3D">
        <w:rPr>
          <w:rFonts w:ascii="Arial" w:hAnsi="Arial" w:cs="Arial"/>
          <w:iCs/>
          <w:sz w:val="20"/>
          <w:szCs w:val="20"/>
        </w:rPr>
        <w:t>La re</w:t>
      </w:r>
      <w:r>
        <w:rPr>
          <w:rFonts w:ascii="Arial" w:hAnsi="Arial" w:cs="Arial"/>
          <w:iCs/>
          <w:sz w:val="20"/>
          <w:szCs w:val="20"/>
        </w:rPr>
        <w:t>st</w:t>
      </w:r>
      <w:r w:rsidRPr="00B23D3D">
        <w:rPr>
          <w:rFonts w:ascii="Arial" w:hAnsi="Arial" w:cs="Arial"/>
          <w:iCs/>
          <w:sz w:val="20"/>
          <w:szCs w:val="20"/>
        </w:rPr>
        <w:t xml:space="preserve">auration du personnel dans les bâtiments 230 et 598. </w:t>
      </w:r>
    </w:p>
    <w:p w14:paraId="29AD1B82" w14:textId="4D2A2547" w:rsidR="00B23D3D" w:rsidRPr="00B23D3D" w:rsidRDefault="00B23D3D" w:rsidP="00041800">
      <w:pPr>
        <w:pStyle w:val="Paragraphedeliste"/>
        <w:numPr>
          <w:ilvl w:val="0"/>
          <w:numId w:val="17"/>
        </w:numPr>
        <w:spacing w:line="276" w:lineRule="auto"/>
        <w:jc w:val="both"/>
        <w:rPr>
          <w:rFonts w:ascii="Arial" w:hAnsi="Arial" w:cs="Arial"/>
          <w:iCs/>
          <w:sz w:val="20"/>
          <w:szCs w:val="20"/>
        </w:rPr>
      </w:pPr>
      <w:r w:rsidRPr="00B23D3D">
        <w:rPr>
          <w:rFonts w:ascii="Arial" w:hAnsi="Arial" w:cs="Arial"/>
          <w:iCs/>
          <w:sz w:val="20"/>
          <w:szCs w:val="20"/>
        </w:rPr>
        <w:t>Le service d’animation pour le personnel avec l’organisation d’évènements et de sorties tout au long de l’année (bâtiment 304)</w:t>
      </w:r>
    </w:p>
    <w:p w14:paraId="71050305" w14:textId="77777777" w:rsidR="00B23D3D" w:rsidRPr="00B23D3D" w:rsidRDefault="00B23D3D" w:rsidP="00B23D3D">
      <w:pPr>
        <w:pStyle w:val="Paragraphedeliste"/>
        <w:spacing w:line="276" w:lineRule="auto"/>
        <w:jc w:val="both"/>
        <w:rPr>
          <w:rFonts w:ascii="Arial" w:hAnsi="Arial" w:cs="Arial"/>
          <w:iCs/>
          <w:sz w:val="20"/>
          <w:szCs w:val="20"/>
        </w:rPr>
      </w:pPr>
    </w:p>
    <w:p w14:paraId="1568A66F" w14:textId="4F1A1430" w:rsidR="00EE35B5"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 xml:space="preserve">Par ailleurs, des locaux syndicaux sont mis à disposition des organisations syndicales, conformément à la loi. </w:t>
      </w:r>
    </w:p>
    <w:p w14:paraId="368553A0" w14:textId="33E5E0F7" w:rsidR="00B23D3D" w:rsidRDefault="00B23D3D" w:rsidP="00B23D3D">
      <w:pPr>
        <w:pStyle w:val="Paragraphedeliste"/>
        <w:spacing w:line="276" w:lineRule="auto"/>
        <w:ind w:left="0"/>
        <w:jc w:val="both"/>
        <w:rPr>
          <w:rFonts w:ascii="Arial" w:hAnsi="Arial" w:cs="Arial"/>
          <w:iCs/>
          <w:sz w:val="20"/>
          <w:szCs w:val="20"/>
        </w:rPr>
      </w:pPr>
    </w:p>
    <w:p w14:paraId="77866BBF" w14:textId="53945943" w:rsidR="00B23D3D" w:rsidRDefault="00B23D3D" w:rsidP="00B23D3D">
      <w:pPr>
        <w:pStyle w:val="Titre3"/>
        <w:ind w:left="0" w:hanging="567"/>
        <w:rPr>
          <w:rFonts w:ascii="Arial" w:hAnsi="Arial" w:cs="Arial"/>
          <w:i w:val="0"/>
          <w:iCs/>
          <w:sz w:val="20"/>
          <w:szCs w:val="20"/>
        </w:rPr>
      </w:pPr>
      <w:r>
        <w:rPr>
          <w:rFonts w:ascii="Arial" w:hAnsi="Arial" w:cs="Arial"/>
          <w:i w:val="0"/>
          <w:iCs/>
          <w:sz w:val="20"/>
          <w:szCs w:val="20"/>
        </w:rPr>
        <w:t>L</w:t>
      </w:r>
      <w:r>
        <w:rPr>
          <w:rFonts w:ascii="Arial" w:hAnsi="Arial" w:cs="Arial"/>
          <w:i w:val="0"/>
          <w:iCs/>
          <w:sz w:val="20"/>
          <w:szCs w:val="20"/>
        </w:rPr>
        <w:t>e sport</w:t>
      </w:r>
    </w:p>
    <w:p w14:paraId="11E057B9"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 sport est enjeu majeur de vie étudiante, ce dernier contribuant en effet à l’amélioration de la santé physique et mentale des étudiants, tout en favorisant une certaine cohésion sociale.</w:t>
      </w:r>
    </w:p>
    <w:p w14:paraId="6692086E"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 sport sur le campus recouvre deux aspects principaux :</w:t>
      </w:r>
    </w:p>
    <w:p w14:paraId="0B5A54F5" w14:textId="4DB5AB58" w:rsidR="00B23D3D" w:rsidRPr="00B23D3D" w:rsidRDefault="00B23D3D" w:rsidP="00041800">
      <w:pPr>
        <w:pStyle w:val="Paragraphedeliste"/>
        <w:numPr>
          <w:ilvl w:val="0"/>
          <w:numId w:val="18"/>
        </w:numPr>
        <w:spacing w:line="276" w:lineRule="auto"/>
        <w:jc w:val="both"/>
        <w:rPr>
          <w:rFonts w:ascii="Arial" w:hAnsi="Arial" w:cs="Arial"/>
          <w:iCs/>
          <w:sz w:val="20"/>
          <w:szCs w:val="20"/>
        </w:rPr>
      </w:pPr>
      <w:r w:rsidRPr="00B23D3D">
        <w:rPr>
          <w:rFonts w:ascii="Arial" w:hAnsi="Arial" w:cs="Arial"/>
          <w:iCs/>
          <w:sz w:val="20"/>
          <w:szCs w:val="20"/>
        </w:rPr>
        <w:t xml:space="preserve">Le sport en tant que pratique associative </w:t>
      </w:r>
    </w:p>
    <w:p w14:paraId="2379EB2F" w14:textId="7E208029" w:rsidR="00B23D3D" w:rsidRPr="00B23D3D" w:rsidRDefault="00B23D3D" w:rsidP="00041800">
      <w:pPr>
        <w:pStyle w:val="Paragraphedeliste"/>
        <w:numPr>
          <w:ilvl w:val="0"/>
          <w:numId w:val="18"/>
        </w:numPr>
        <w:spacing w:line="276" w:lineRule="auto"/>
        <w:jc w:val="both"/>
        <w:rPr>
          <w:rFonts w:ascii="Arial" w:hAnsi="Arial" w:cs="Arial"/>
          <w:iCs/>
          <w:sz w:val="20"/>
          <w:szCs w:val="20"/>
        </w:rPr>
      </w:pPr>
      <w:r w:rsidRPr="00B23D3D">
        <w:rPr>
          <w:rFonts w:ascii="Arial" w:hAnsi="Arial" w:cs="Arial"/>
          <w:iCs/>
          <w:sz w:val="20"/>
          <w:szCs w:val="20"/>
        </w:rPr>
        <w:t>Le sport en tant qu’enseignement, notamment pour la Faculté des Sciences du Sport, mais également option, obligatoire ou non, de sport pour certaines formations</w:t>
      </w:r>
    </w:p>
    <w:p w14:paraId="17403C0C"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164C6743"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 Service Universitaire des Activités Physiques et Sportives (SUAPS) propose aux étudiants et personnels de l’Université la pratique de plus de 80 sports différents sous forme d’Elément Constitutifs (EC) libres, d’EC intégrés dans les cursus, de sport en compétition ainsi que d’événements sportifs et artistiques divers tout au long de l’année.</w:t>
      </w:r>
    </w:p>
    <w:p w14:paraId="0C223316"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 PSUC est une association omnisport majeure de l’Université Paris Saclay, fondée en 1990 et proposant de nombreuses pratiques sportives.</w:t>
      </w:r>
    </w:p>
    <w:p w14:paraId="170E79E2"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216690FF"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Les équipements sportifs situés au sein du périmètre du campus sont détenus, utilisés et gérés par plusieurs acteurs du territoire : l’Université, communes, Agglomération Paris Saclay.</w:t>
      </w:r>
    </w:p>
    <w:p w14:paraId="76D53B75"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14F43448" w14:textId="5596A061" w:rsid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Sur le campus plateau vallée de l’Université Paris Saclay, un défi important à la pratique sportive est l’accessibilité des sites au vu de l’étendue géographique du campus et des moyens de transport à disposition des étudiants, notamment sur la liaison entre le plateau et la vallée.</w:t>
      </w:r>
    </w:p>
    <w:p w14:paraId="0E9383C1" w14:textId="4C3246C6" w:rsidR="00B23D3D" w:rsidRDefault="00B23D3D" w:rsidP="00B23D3D">
      <w:pPr>
        <w:pStyle w:val="Paragraphedeliste"/>
        <w:spacing w:line="276" w:lineRule="auto"/>
        <w:ind w:left="0"/>
        <w:jc w:val="both"/>
        <w:rPr>
          <w:rFonts w:ascii="Arial" w:hAnsi="Arial" w:cs="Arial"/>
          <w:iCs/>
          <w:sz w:val="20"/>
          <w:szCs w:val="20"/>
        </w:rPr>
      </w:pPr>
    </w:p>
    <w:p w14:paraId="74A13CD0" w14:textId="691275BB" w:rsidR="00B23D3D" w:rsidRDefault="00B23D3D" w:rsidP="00B23D3D">
      <w:pPr>
        <w:pStyle w:val="Titre3"/>
        <w:ind w:left="0" w:hanging="567"/>
        <w:rPr>
          <w:rFonts w:ascii="Arial" w:hAnsi="Arial" w:cs="Arial"/>
          <w:i w:val="0"/>
          <w:iCs/>
          <w:sz w:val="20"/>
          <w:szCs w:val="20"/>
        </w:rPr>
      </w:pPr>
      <w:r>
        <w:rPr>
          <w:rFonts w:ascii="Arial" w:hAnsi="Arial" w:cs="Arial"/>
          <w:i w:val="0"/>
          <w:iCs/>
          <w:sz w:val="20"/>
          <w:szCs w:val="20"/>
        </w:rPr>
        <w:t>L</w:t>
      </w:r>
      <w:r>
        <w:rPr>
          <w:rFonts w:ascii="Arial" w:hAnsi="Arial" w:cs="Arial"/>
          <w:i w:val="0"/>
          <w:iCs/>
          <w:sz w:val="20"/>
          <w:szCs w:val="20"/>
        </w:rPr>
        <w:t>es administrations et services techniques</w:t>
      </w:r>
    </w:p>
    <w:p w14:paraId="75C8746B" w14:textId="2256BC15" w:rsidR="00B23D3D" w:rsidRDefault="00B23D3D" w:rsidP="00B23D3D">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 xml:space="preserve">Les </w:t>
      </w:r>
      <w:r>
        <w:rPr>
          <w:rFonts w:ascii="Arial" w:hAnsi="Arial" w:cs="Arial"/>
          <w:iCs/>
          <w:sz w:val="20"/>
          <w:szCs w:val="20"/>
          <w:u w:val="single"/>
        </w:rPr>
        <w:t xml:space="preserve">services </w:t>
      </w:r>
      <w:r w:rsidR="00A303AD">
        <w:rPr>
          <w:rFonts w:ascii="Arial" w:hAnsi="Arial" w:cs="Arial"/>
          <w:iCs/>
          <w:sz w:val="20"/>
          <w:szCs w:val="20"/>
          <w:u w:val="single"/>
        </w:rPr>
        <w:t>administratifs</w:t>
      </w:r>
    </w:p>
    <w:p w14:paraId="5E3BFD98" w14:textId="3E7C8B55" w:rsidR="00B23D3D" w:rsidRDefault="00B23D3D" w:rsidP="00B23D3D">
      <w:pPr>
        <w:pStyle w:val="Paragraphedeliste"/>
        <w:spacing w:line="276" w:lineRule="auto"/>
        <w:ind w:left="0"/>
        <w:jc w:val="both"/>
        <w:rPr>
          <w:rFonts w:ascii="Arial" w:hAnsi="Arial" w:cs="Arial"/>
          <w:iCs/>
          <w:sz w:val="20"/>
          <w:szCs w:val="20"/>
          <w:u w:val="single"/>
        </w:rPr>
      </w:pPr>
    </w:p>
    <w:p w14:paraId="197CF1AC"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 xml:space="preserve">Les services administratifs sont répartis en deux « catégories » : </w:t>
      </w:r>
    </w:p>
    <w:p w14:paraId="695001DD" w14:textId="56447884" w:rsidR="00B23D3D" w:rsidRPr="00B23D3D" w:rsidRDefault="00B23D3D" w:rsidP="00041800">
      <w:pPr>
        <w:pStyle w:val="Paragraphedeliste"/>
        <w:numPr>
          <w:ilvl w:val="0"/>
          <w:numId w:val="19"/>
        </w:numPr>
        <w:spacing w:line="276" w:lineRule="auto"/>
        <w:jc w:val="both"/>
        <w:rPr>
          <w:rFonts w:ascii="Arial" w:hAnsi="Arial" w:cs="Arial"/>
          <w:iCs/>
          <w:sz w:val="20"/>
          <w:szCs w:val="20"/>
        </w:rPr>
      </w:pPr>
      <w:proofErr w:type="gramStart"/>
      <w:r w:rsidRPr="00B23D3D">
        <w:rPr>
          <w:rFonts w:ascii="Arial" w:hAnsi="Arial" w:cs="Arial"/>
          <w:iCs/>
          <w:sz w:val="20"/>
          <w:szCs w:val="20"/>
        </w:rPr>
        <w:t>les</w:t>
      </w:r>
      <w:proofErr w:type="gramEnd"/>
      <w:r w:rsidRPr="00B23D3D">
        <w:rPr>
          <w:rFonts w:ascii="Arial" w:hAnsi="Arial" w:cs="Arial"/>
          <w:iCs/>
          <w:sz w:val="20"/>
          <w:szCs w:val="20"/>
        </w:rPr>
        <w:t xml:space="preserve"> services centraux de l’Université</w:t>
      </w:r>
    </w:p>
    <w:p w14:paraId="3D6465D5" w14:textId="42ECDFBB" w:rsidR="00B23D3D" w:rsidRPr="00B23D3D" w:rsidRDefault="00B23D3D" w:rsidP="00041800">
      <w:pPr>
        <w:pStyle w:val="Paragraphedeliste"/>
        <w:numPr>
          <w:ilvl w:val="0"/>
          <w:numId w:val="19"/>
        </w:numPr>
        <w:spacing w:line="276" w:lineRule="auto"/>
        <w:jc w:val="both"/>
        <w:rPr>
          <w:rFonts w:ascii="Arial" w:hAnsi="Arial" w:cs="Arial"/>
          <w:iCs/>
          <w:sz w:val="20"/>
          <w:szCs w:val="20"/>
        </w:rPr>
      </w:pPr>
      <w:proofErr w:type="gramStart"/>
      <w:r w:rsidRPr="00B23D3D">
        <w:rPr>
          <w:rFonts w:ascii="Arial" w:hAnsi="Arial" w:cs="Arial"/>
          <w:iCs/>
          <w:sz w:val="20"/>
          <w:szCs w:val="20"/>
        </w:rPr>
        <w:t>les</w:t>
      </w:r>
      <w:proofErr w:type="gramEnd"/>
      <w:r w:rsidRPr="00B23D3D">
        <w:rPr>
          <w:rFonts w:ascii="Arial" w:hAnsi="Arial" w:cs="Arial"/>
          <w:iCs/>
          <w:sz w:val="20"/>
          <w:szCs w:val="20"/>
        </w:rPr>
        <w:t xml:space="preserve"> services rattachés aux composantes de l’Université (secrétariats pédagogiques, services techniques, division des formations, de la recherche, secrétariats généraux, etc.) </w:t>
      </w:r>
    </w:p>
    <w:p w14:paraId="4FA38175"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4EAA409E" w14:textId="77777777" w:rsidR="00B23D3D" w:rsidRP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Les services administratifs rattachés aux composantes sont répartis au sein des bâtiments que ces dernières occupent. La plupart des services techniques étant de petites tailles, ils disposent de locaux au sein de ces mêmes bâtiments. Le STIL, en tant que service technique principal du campus, dispose quant à lui d’un bâtiment dédié (309) – cf. plan ci-dessous.</w:t>
      </w:r>
    </w:p>
    <w:p w14:paraId="747DC270"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1799491D" w14:textId="4A61A0A2" w:rsidR="00B23D3D" w:rsidRDefault="00B23D3D" w:rsidP="00B23D3D">
      <w:pPr>
        <w:pStyle w:val="Paragraphedeliste"/>
        <w:spacing w:line="276" w:lineRule="auto"/>
        <w:ind w:left="0"/>
        <w:jc w:val="both"/>
        <w:rPr>
          <w:rFonts w:ascii="Arial" w:hAnsi="Arial" w:cs="Arial"/>
          <w:iCs/>
          <w:sz w:val="20"/>
          <w:szCs w:val="20"/>
        </w:rPr>
      </w:pPr>
      <w:r w:rsidRPr="00B23D3D">
        <w:rPr>
          <w:rFonts w:ascii="Arial" w:hAnsi="Arial" w:cs="Arial"/>
          <w:iCs/>
          <w:sz w:val="20"/>
          <w:szCs w:val="20"/>
        </w:rPr>
        <w:t>Les services centraux sont éparpillés géographiquement entre la Vallée et le Plateau du campus Orsay Bures Gif.</w:t>
      </w:r>
    </w:p>
    <w:p w14:paraId="1E5C451D" w14:textId="51282038" w:rsidR="00A303AD" w:rsidRPr="00A303AD" w:rsidRDefault="00A303AD" w:rsidP="00B23D3D">
      <w:pPr>
        <w:pStyle w:val="Paragraphedeliste"/>
        <w:spacing w:line="276" w:lineRule="auto"/>
        <w:ind w:left="0"/>
        <w:jc w:val="both"/>
        <w:rPr>
          <w:rFonts w:ascii="Arial" w:hAnsi="Arial" w:cs="Arial"/>
          <w:i/>
          <w:sz w:val="20"/>
          <w:szCs w:val="20"/>
        </w:rPr>
      </w:pPr>
      <w:r w:rsidRPr="00A303AD">
        <w:rPr>
          <w:rFonts w:ascii="Arial" w:hAnsi="Arial" w:cs="Arial"/>
          <w:i/>
          <w:sz w:val="20"/>
          <w:szCs w:val="20"/>
        </w:rPr>
        <w:t>Localisation des services centraux et STIL, en rouge</w:t>
      </w:r>
      <w:r w:rsidRPr="00A303AD">
        <w:rPr>
          <w:rFonts w:ascii="Arial" w:hAnsi="Arial" w:cs="Arial"/>
          <w:i/>
          <w:sz w:val="20"/>
          <w:szCs w:val="20"/>
        </w:rPr>
        <w:t> :</w:t>
      </w:r>
    </w:p>
    <w:p w14:paraId="2457B751" w14:textId="18B09C1C" w:rsidR="00A303AD" w:rsidRPr="00B23D3D" w:rsidRDefault="00A303AD" w:rsidP="00A303AD">
      <w:pPr>
        <w:pStyle w:val="Paragraphedeliste"/>
        <w:spacing w:line="276" w:lineRule="auto"/>
        <w:ind w:left="-851" w:right="-992"/>
        <w:jc w:val="center"/>
        <w:rPr>
          <w:rFonts w:ascii="Arial" w:hAnsi="Arial" w:cs="Arial"/>
          <w:iCs/>
          <w:sz w:val="20"/>
          <w:szCs w:val="20"/>
        </w:rPr>
      </w:pPr>
      <w:r>
        <w:rPr>
          <w:rFonts w:ascii="Arial" w:hAnsi="Arial" w:cs="Arial"/>
          <w:iCs/>
          <w:noProof/>
          <w:sz w:val="20"/>
          <w:szCs w:val="20"/>
        </w:rPr>
        <w:drawing>
          <wp:inline distT="0" distB="0" distL="0" distR="0" wp14:anchorId="793D4234" wp14:editId="6D37992E">
            <wp:extent cx="3673918" cy="3186454"/>
            <wp:effectExtent l="0" t="0" r="317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9">
                      <a:extLst>
                        <a:ext uri="{28A0092B-C50C-407E-A947-70E740481C1C}">
                          <a14:useLocalDpi xmlns:a14="http://schemas.microsoft.com/office/drawing/2010/main" val="0"/>
                        </a:ext>
                      </a:extLst>
                    </a:blip>
                    <a:srcRect t="7279"/>
                    <a:stretch/>
                  </pic:blipFill>
                  <pic:spPr bwMode="auto">
                    <a:xfrm>
                      <a:off x="0" y="0"/>
                      <a:ext cx="3684095" cy="3195281"/>
                    </a:xfrm>
                    <a:prstGeom prst="rect">
                      <a:avLst/>
                    </a:prstGeom>
                    <a:noFill/>
                    <a:ln>
                      <a:noFill/>
                    </a:ln>
                    <a:extLst>
                      <a:ext uri="{53640926-AAD7-44D8-BBD7-CCE9431645EC}">
                        <a14:shadowObscured xmlns:a14="http://schemas.microsoft.com/office/drawing/2010/main"/>
                      </a:ext>
                    </a:extLst>
                  </pic:spPr>
                </pic:pic>
              </a:graphicData>
            </a:graphic>
          </wp:inline>
        </w:drawing>
      </w:r>
      <w:r w:rsidRPr="00A303AD">
        <w:t xml:space="preserve"> </w:t>
      </w:r>
    </w:p>
    <w:p w14:paraId="6E968BEA" w14:textId="77777777" w:rsidR="00B23D3D" w:rsidRPr="00B23D3D" w:rsidRDefault="00B23D3D" w:rsidP="00B23D3D">
      <w:pPr>
        <w:pStyle w:val="Paragraphedeliste"/>
        <w:spacing w:line="276" w:lineRule="auto"/>
        <w:ind w:left="0"/>
        <w:jc w:val="both"/>
        <w:rPr>
          <w:rFonts w:ascii="Arial" w:hAnsi="Arial" w:cs="Arial"/>
          <w:iCs/>
          <w:sz w:val="20"/>
          <w:szCs w:val="20"/>
        </w:rPr>
      </w:pPr>
    </w:p>
    <w:p w14:paraId="2ACA2A51" w14:textId="768CC907" w:rsidR="00A303AD" w:rsidRDefault="00A303AD" w:rsidP="00A303AD">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lastRenderedPageBreak/>
        <w:t xml:space="preserve">Les services </w:t>
      </w:r>
      <w:r>
        <w:rPr>
          <w:rFonts w:ascii="Arial" w:hAnsi="Arial" w:cs="Arial"/>
          <w:iCs/>
          <w:sz w:val="20"/>
          <w:szCs w:val="20"/>
          <w:u w:val="single"/>
        </w:rPr>
        <w:t>techniques</w:t>
      </w:r>
    </w:p>
    <w:p w14:paraId="0B7D26DC" w14:textId="0E00A86D" w:rsidR="00B23D3D" w:rsidRPr="00B23D3D" w:rsidRDefault="00B23D3D" w:rsidP="00B23D3D">
      <w:pPr>
        <w:pStyle w:val="Paragraphedeliste"/>
        <w:spacing w:line="276" w:lineRule="auto"/>
        <w:ind w:left="0"/>
        <w:jc w:val="both"/>
        <w:rPr>
          <w:rFonts w:ascii="Arial" w:hAnsi="Arial" w:cs="Arial"/>
          <w:iCs/>
          <w:sz w:val="20"/>
          <w:szCs w:val="20"/>
        </w:rPr>
      </w:pPr>
    </w:p>
    <w:p w14:paraId="63494D1F" w14:textId="77777777" w:rsidR="00A303AD" w:rsidRPr="00A303AD" w:rsidRDefault="00A303AD" w:rsidP="00A303AD">
      <w:pPr>
        <w:pStyle w:val="Paragraphedeliste"/>
        <w:spacing w:line="276" w:lineRule="auto"/>
        <w:ind w:left="0"/>
        <w:jc w:val="both"/>
        <w:rPr>
          <w:rFonts w:ascii="Arial" w:hAnsi="Arial" w:cs="Arial"/>
          <w:iCs/>
          <w:sz w:val="20"/>
          <w:szCs w:val="20"/>
        </w:rPr>
      </w:pPr>
      <w:r w:rsidRPr="00A303AD">
        <w:rPr>
          <w:rFonts w:ascii="Arial" w:hAnsi="Arial" w:cs="Arial"/>
          <w:iCs/>
          <w:sz w:val="20"/>
          <w:szCs w:val="20"/>
        </w:rPr>
        <w:t>Le Service Technique Immobilier et Logistique de la faculté des Sciences (STIL) est le principal service technique de l’Université Paris-Saclay. Il est implanté dans le bâtiment 309 de la vallée. Ses missions sont principalement concentrées sur l’entretien, la maintenance et le GER (Gros Renouvellement Entretien) des bâtiments de la Faculté des Sciences et des services centraux. Il assure également ces mêmes missions sur certains corps d’état que les autres services techniques ne sont pas en mesure de couvrir faute d’effectifs suffisants. Chaque composante sur les sites extérieurs (facultés et IUT) possède ensuite son propre service technique.</w:t>
      </w:r>
    </w:p>
    <w:p w14:paraId="0E209A59" w14:textId="77777777" w:rsidR="00A303AD" w:rsidRPr="00A303AD" w:rsidRDefault="00A303AD" w:rsidP="00A303AD">
      <w:pPr>
        <w:pStyle w:val="Paragraphedeliste"/>
        <w:spacing w:line="276" w:lineRule="auto"/>
        <w:ind w:left="0"/>
        <w:jc w:val="both"/>
        <w:rPr>
          <w:rFonts w:ascii="Arial" w:hAnsi="Arial" w:cs="Arial"/>
          <w:iCs/>
          <w:sz w:val="20"/>
          <w:szCs w:val="20"/>
        </w:rPr>
      </w:pPr>
    </w:p>
    <w:p w14:paraId="13CDF405" w14:textId="77777777" w:rsidR="00A303AD" w:rsidRPr="00A303AD" w:rsidRDefault="00A303AD" w:rsidP="00A303AD">
      <w:pPr>
        <w:pStyle w:val="Paragraphedeliste"/>
        <w:spacing w:line="276" w:lineRule="auto"/>
        <w:ind w:left="0"/>
        <w:jc w:val="both"/>
        <w:rPr>
          <w:rFonts w:ascii="Arial" w:hAnsi="Arial" w:cs="Arial"/>
          <w:iCs/>
          <w:sz w:val="20"/>
          <w:szCs w:val="20"/>
        </w:rPr>
      </w:pPr>
      <w:r w:rsidRPr="00A303AD">
        <w:rPr>
          <w:rFonts w:ascii="Arial" w:hAnsi="Arial" w:cs="Arial"/>
          <w:iCs/>
          <w:sz w:val="20"/>
          <w:szCs w:val="20"/>
        </w:rPr>
        <w:t>Compte tenu de ses interactions nombreuses avec les autres services techniques et la DAPI, l’implantation du STIL pourrait être remise en cause.</w:t>
      </w:r>
    </w:p>
    <w:p w14:paraId="3FD1F498" w14:textId="43D7AD52" w:rsidR="00B23D3D" w:rsidRDefault="00B23D3D" w:rsidP="00B23D3D">
      <w:pPr>
        <w:pStyle w:val="Paragraphedeliste"/>
        <w:spacing w:line="276" w:lineRule="auto"/>
        <w:ind w:left="0"/>
        <w:jc w:val="both"/>
        <w:rPr>
          <w:rFonts w:ascii="Arial" w:hAnsi="Arial" w:cs="Arial"/>
          <w:iCs/>
          <w:sz w:val="20"/>
          <w:szCs w:val="20"/>
        </w:rPr>
      </w:pPr>
    </w:p>
    <w:p w14:paraId="4420E95F" w14:textId="3DA5BF66" w:rsidR="00A303AD" w:rsidRDefault="00A303AD" w:rsidP="00B23D3D">
      <w:pPr>
        <w:pStyle w:val="Paragraphedeliste"/>
        <w:spacing w:line="276" w:lineRule="auto"/>
        <w:ind w:left="0"/>
        <w:jc w:val="both"/>
        <w:rPr>
          <w:rFonts w:ascii="Arial" w:hAnsi="Arial" w:cs="Arial"/>
          <w:iCs/>
          <w:sz w:val="20"/>
          <w:szCs w:val="20"/>
        </w:rPr>
      </w:pPr>
    </w:p>
    <w:p w14:paraId="65466EA2" w14:textId="0D5C3DA2" w:rsidR="00A303AD" w:rsidRDefault="00A303AD" w:rsidP="00A303AD">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 xml:space="preserve">Les </w:t>
      </w:r>
      <w:r>
        <w:rPr>
          <w:rFonts w:ascii="Arial" w:hAnsi="Arial" w:cs="Arial"/>
          <w:iCs/>
          <w:sz w:val="20"/>
          <w:szCs w:val="20"/>
          <w:u w:val="single"/>
        </w:rPr>
        <w:t>logements de fonctions</w:t>
      </w:r>
    </w:p>
    <w:p w14:paraId="1AAC7663" w14:textId="5D5DFC60" w:rsidR="00A303AD" w:rsidRDefault="00A303AD" w:rsidP="00B23D3D">
      <w:pPr>
        <w:pStyle w:val="Paragraphedeliste"/>
        <w:spacing w:line="276" w:lineRule="auto"/>
        <w:ind w:left="0"/>
        <w:jc w:val="both"/>
        <w:rPr>
          <w:rFonts w:ascii="Arial" w:hAnsi="Arial" w:cs="Arial"/>
          <w:iCs/>
          <w:sz w:val="20"/>
          <w:szCs w:val="20"/>
        </w:rPr>
      </w:pPr>
    </w:p>
    <w:p w14:paraId="353C011C" w14:textId="77777777" w:rsidR="00A303AD" w:rsidRPr="00A303AD" w:rsidRDefault="00A303AD" w:rsidP="00A303AD">
      <w:pPr>
        <w:jc w:val="both"/>
        <w:rPr>
          <w:rFonts w:ascii="Arial" w:hAnsi="Arial" w:cs="Arial"/>
          <w:iCs/>
          <w:sz w:val="20"/>
          <w:szCs w:val="20"/>
        </w:rPr>
      </w:pPr>
      <w:r w:rsidRPr="00A303AD">
        <w:rPr>
          <w:rFonts w:ascii="Arial" w:hAnsi="Arial" w:cs="Arial"/>
          <w:iCs/>
          <w:sz w:val="20"/>
          <w:szCs w:val="20"/>
        </w:rPr>
        <w:t>L’Université compte quelques dizaines d’agents logés avec ou sans Nécessité Absolue de Service (NAS). Plusieurs bâtiments sont dédiés à ces logements de fonction : 606C (IUT d’Orsay), 99, 303bis, bâtiment de logement du campus du Kremlin-Bicêtre, bâtiment de logement du campus Jean Monnet.</w:t>
      </w:r>
    </w:p>
    <w:p w14:paraId="5A03615E" w14:textId="77777777" w:rsidR="00A303AD" w:rsidRPr="00A303AD" w:rsidRDefault="00A303AD" w:rsidP="00A303AD">
      <w:pPr>
        <w:jc w:val="both"/>
        <w:rPr>
          <w:rFonts w:ascii="Arial" w:hAnsi="Arial" w:cs="Arial"/>
          <w:iCs/>
          <w:sz w:val="20"/>
          <w:szCs w:val="20"/>
        </w:rPr>
      </w:pPr>
    </w:p>
    <w:p w14:paraId="4EBB36F4" w14:textId="77777777" w:rsidR="00A303AD" w:rsidRPr="00A303AD" w:rsidRDefault="00A303AD" w:rsidP="00A303AD">
      <w:pPr>
        <w:jc w:val="both"/>
        <w:rPr>
          <w:rFonts w:ascii="Arial" w:hAnsi="Arial" w:cs="Arial"/>
          <w:iCs/>
          <w:sz w:val="20"/>
          <w:szCs w:val="20"/>
        </w:rPr>
      </w:pPr>
      <w:r w:rsidRPr="00A303AD">
        <w:rPr>
          <w:rFonts w:ascii="Arial" w:hAnsi="Arial" w:cs="Arial"/>
          <w:iCs/>
          <w:sz w:val="20"/>
          <w:szCs w:val="20"/>
        </w:rPr>
        <w:t>D’autres bâtiments tertiaires intègrent un ou plusieurs logements : 330, 335, 220, 205, COUM, etc.</w:t>
      </w:r>
    </w:p>
    <w:p w14:paraId="79A7CBA2" w14:textId="0C3BF4A9" w:rsidR="00A303AD" w:rsidRDefault="00A303AD" w:rsidP="00A303AD">
      <w:pPr>
        <w:pStyle w:val="Paragraphedeliste"/>
        <w:spacing w:line="276" w:lineRule="auto"/>
        <w:ind w:left="0"/>
        <w:jc w:val="both"/>
        <w:rPr>
          <w:rFonts w:ascii="Arial" w:hAnsi="Arial" w:cs="Arial"/>
          <w:iCs/>
          <w:sz w:val="20"/>
          <w:szCs w:val="20"/>
        </w:rPr>
      </w:pPr>
    </w:p>
    <w:p w14:paraId="7325A3F9" w14:textId="06108A96" w:rsidR="00A303AD" w:rsidRDefault="00A303AD" w:rsidP="00A303AD">
      <w:pPr>
        <w:pStyle w:val="Paragraphedeliste"/>
        <w:spacing w:line="276" w:lineRule="auto"/>
        <w:ind w:left="0"/>
        <w:jc w:val="both"/>
        <w:rPr>
          <w:rFonts w:ascii="Arial" w:hAnsi="Arial" w:cs="Arial"/>
          <w:iCs/>
          <w:sz w:val="20"/>
          <w:szCs w:val="20"/>
        </w:rPr>
      </w:pPr>
    </w:p>
    <w:p w14:paraId="2F1F3F2A" w14:textId="7DC8EDD7" w:rsidR="00A303AD" w:rsidRPr="00056881" w:rsidRDefault="0039584E" w:rsidP="00A303AD">
      <w:pPr>
        <w:pStyle w:val="Titre1article"/>
        <w:tabs>
          <w:tab w:val="clear" w:pos="0"/>
          <w:tab w:val="num" w:pos="-1069"/>
        </w:tabs>
        <w:spacing w:line="276" w:lineRule="auto"/>
        <w:jc w:val="both"/>
      </w:pPr>
      <w:r>
        <w:t>PARTICULARITES DES SITES</w:t>
      </w:r>
    </w:p>
    <w:p w14:paraId="01EE9479" w14:textId="7EB54C79" w:rsidR="00A303AD" w:rsidRDefault="00A303AD" w:rsidP="00A303AD">
      <w:pPr>
        <w:pStyle w:val="Titre3"/>
        <w:ind w:left="0" w:hanging="567"/>
        <w:jc w:val="both"/>
        <w:rPr>
          <w:rFonts w:ascii="Arial" w:hAnsi="Arial" w:cs="Arial"/>
          <w:i w:val="0"/>
          <w:iCs/>
          <w:sz w:val="20"/>
          <w:szCs w:val="20"/>
        </w:rPr>
      </w:pPr>
      <w:r>
        <w:rPr>
          <w:rFonts w:ascii="Arial" w:hAnsi="Arial" w:cs="Arial"/>
          <w:i w:val="0"/>
          <w:iCs/>
          <w:sz w:val="20"/>
          <w:szCs w:val="20"/>
        </w:rPr>
        <w:t>Le</w:t>
      </w:r>
      <w:r>
        <w:rPr>
          <w:rFonts w:ascii="Arial" w:hAnsi="Arial" w:cs="Arial"/>
          <w:i w:val="0"/>
          <w:iCs/>
          <w:sz w:val="20"/>
          <w:szCs w:val="20"/>
        </w:rPr>
        <w:t xml:space="preserve"> campus </w:t>
      </w:r>
      <w:r w:rsidR="00684338">
        <w:rPr>
          <w:rFonts w:ascii="Arial" w:hAnsi="Arial" w:cs="Arial"/>
          <w:i w:val="0"/>
          <w:iCs/>
          <w:sz w:val="20"/>
          <w:szCs w:val="20"/>
        </w:rPr>
        <w:t xml:space="preserve">vallée </w:t>
      </w:r>
      <w:r>
        <w:rPr>
          <w:rFonts w:ascii="Arial" w:hAnsi="Arial" w:cs="Arial"/>
          <w:i w:val="0"/>
          <w:iCs/>
          <w:sz w:val="20"/>
          <w:szCs w:val="20"/>
        </w:rPr>
        <w:t>Orsay-Bures</w:t>
      </w:r>
      <w:r w:rsidR="00684338">
        <w:rPr>
          <w:rFonts w:ascii="Arial" w:hAnsi="Arial" w:cs="Arial"/>
          <w:i w:val="0"/>
          <w:iCs/>
          <w:sz w:val="20"/>
          <w:szCs w:val="20"/>
        </w:rPr>
        <w:t>-Gif</w:t>
      </w:r>
    </w:p>
    <w:p w14:paraId="20F5B11B" w14:textId="7CD6538A" w:rsidR="00A303AD" w:rsidRPr="00A303AD" w:rsidRDefault="00A303AD" w:rsidP="00A303AD">
      <w:pPr>
        <w:jc w:val="both"/>
        <w:rPr>
          <w:rFonts w:ascii="Arial" w:hAnsi="Arial" w:cs="Arial"/>
          <w:iCs/>
          <w:sz w:val="20"/>
          <w:szCs w:val="20"/>
        </w:rPr>
      </w:pPr>
      <w:r w:rsidRPr="00A303AD">
        <w:rPr>
          <w:rFonts w:ascii="Arial" w:hAnsi="Arial" w:cs="Arial"/>
          <w:iCs/>
          <w:sz w:val="20"/>
          <w:szCs w:val="20"/>
        </w:rPr>
        <w:t xml:space="preserve">L’implantation de l’Université sur le territoire de la vallée de Bures, Orsay, Gif-sur-Yvette s’étend de la vallée de l’Yvette au plateau de Saclay. Il occupe environ 200 hectares sur les communes d’Orsay et Bures-sur-Yvette dont environ 110 hectares dans la vallée de l’Yvette auxquels s’ajoutent les coteaux boisés, et les bâtiments situés sur le plateau du </w:t>
      </w:r>
      <w:proofErr w:type="spellStart"/>
      <w:r w:rsidRPr="00A303AD">
        <w:rPr>
          <w:rFonts w:ascii="Arial" w:hAnsi="Arial" w:cs="Arial"/>
          <w:iCs/>
          <w:sz w:val="20"/>
          <w:szCs w:val="20"/>
        </w:rPr>
        <w:t>Moulon</w:t>
      </w:r>
      <w:proofErr w:type="spellEnd"/>
      <w:r w:rsidRPr="00A303AD">
        <w:rPr>
          <w:rFonts w:ascii="Arial" w:hAnsi="Arial" w:cs="Arial"/>
          <w:iCs/>
          <w:sz w:val="20"/>
          <w:szCs w:val="20"/>
        </w:rPr>
        <w:t xml:space="preserve"> (quartier du Belvédère, IUT, PUIO…). Il est délimité au Nord par le coteau boisé, escarpé et non bâti, et au Sud par l’Yvette, le RER B et le tissu urbain des communes d’Orsay et de Bures-sur-Yvette. Il se prolonge également sur le plateau de Saclay avec les quartiers du </w:t>
      </w:r>
      <w:proofErr w:type="spellStart"/>
      <w:r w:rsidRPr="00A303AD">
        <w:rPr>
          <w:rFonts w:ascii="Arial" w:hAnsi="Arial" w:cs="Arial"/>
          <w:iCs/>
          <w:sz w:val="20"/>
          <w:szCs w:val="20"/>
        </w:rPr>
        <w:t>Moulon</w:t>
      </w:r>
      <w:proofErr w:type="spellEnd"/>
      <w:r w:rsidRPr="00A303AD">
        <w:rPr>
          <w:rFonts w:ascii="Arial" w:hAnsi="Arial" w:cs="Arial"/>
          <w:iCs/>
          <w:sz w:val="20"/>
          <w:szCs w:val="20"/>
        </w:rPr>
        <w:t xml:space="preserve"> et du Belvédère qui accueillent des installations de recherche et d’enseignement de l’Université (cf. plan de repérage des bâtiments de l’Université Paris-Saclay sur Bures Orsay et Gif-sur-Yvette en </w:t>
      </w:r>
      <w:commentRangeStart w:id="56"/>
      <w:r w:rsidRPr="00A303AD">
        <w:rPr>
          <w:rFonts w:ascii="Arial" w:hAnsi="Arial" w:cs="Arial"/>
          <w:iCs/>
          <w:sz w:val="20"/>
          <w:szCs w:val="20"/>
        </w:rPr>
        <w:t>annexe « Plan plateau vallée avec affectation générale »)</w:t>
      </w:r>
      <w:commentRangeEnd w:id="56"/>
      <w:r w:rsidR="00CA07DA">
        <w:rPr>
          <w:rStyle w:val="Marquedecommentaire"/>
        </w:rPr>
        <w:commentReference w:id="56"/>
      </w:r>
    </w:p>
    <w:p w14:paraId="0C981222" w14:textId="77777777" w:rsidR="00A303AD" w:rsidRPr="00A303AD" w:rsidRDefault="00A303AD" w:rsidP="00A303AD">
      <w:pPr>
        <w:jc w:val="both"/>
        <w:rPr>
          <w:rFonts w:ascii="Arial" w:hAnsi="Arial" w:cs="Arial"/>
          <w:iCs/>
          <w:sz w:val="20"/>
          <w:szCs w:val="20"/>
        </w:rPr>
      </w:pPr>
      <w:r w:rsidRPr="00A303AD">
        <w:rPr>
          <w:rFonts w:ascii="Arial" w:hAnsi="Arial" w:cs="Arial"/>
          <w:iCs/>
          <w:sz w:val="20"/>
          <w:szCs w:val="20"/>
        </w:rPr>
        <w:t>En vallée, sa localisation au cœur d’un paysage naturel exceptionnel, contrastant avec le tissu urbain environnant, en fait un lieu unique.</w:t>
      </w:r>
    </w:p>
    <w:p w14:paraId="4430D8B0" w14:textId="77777777" w:rsidR="00A303AD" w:rsidRPr="00A303AD" w:rsidRDefault="00A303AD" w:rsidP="00A303AD"/>
    <w:p w14:paraId="43A14B2C" w14:textId="1002D6E4" w:rsidR="00A303AD" w:rsidRDefault="00CA07DA" w:rsidP="00B23D3D">
      <w:pPr>
        <w:pStyle w:val="Paragraphedeliste"/>
        <w:spacing w:line="276" w:lineRule="auto"/>
        <w:ind w:left="0"/>
        <w:jc w:val="both"/>
        <w:rPr>
          <w:rFonts w:ascii="Arial" w:hAnsi="Arial" w:cs="Arial"/>
          <w:iCs/>
          <w:sz w:val="20"/>
          <w:szCs w:val="20"/>
        </w:rPr>
      </w:pPr>
      <w:r>
        <w:rPr>
          <w:noProof/>
        </w:rPr>
        <w:lastRenderedPageBreak/>
        <w:drawing>
          <wp:inline distT="0" distB="0" distL="0" distR="0" wp14:anchorId="3F4D3005" wp14:editId="0618CA2F">
            <wp:extent cx="5671185" cy="4753972"/>
            <wp:effectExtent l="0" t="0" r="5715" b="889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3"/>
                    <pic:cNvPicPr/>
                  </pic:nvPicPr>
                  <pic:blipFill>
                    <a:blip r:embed="rId20">
                      <a:extLst>
                        <a:ext uri="{28A0092B-C50C-407E-A947-70E740481C1C}">
                          <a14:useLocalDpi xmlns:a14="http://schemas.microsoft.com/office/drawing/2010/main" val="0"/>
                        </a:ext>
                      </a:extLst>
                    </a:blip>
                    <a:stretch>
                      <a:fillRect/>
                    </a:stretch>
                  </pic:blipFill>
                  <pic:spPr>
                    <a:xfrm>
                      <a:off x="0" y="0"/>
                      <a:ext cx="5671185" cy="4753972"/>
                    </a:xfrm>
                    <a:prstGeom prst="rect">
                      <a:avLst/>
                    </a:prstGeom>
                  </pic:spPr>
                </pic:pic>
              </a:graphicData>
            </a:graphic>
          </wp:inline>
        </w:drawing>
      </w:r>
    </w:p>
    <w:p w14:paraId="57FAADFC" w14:textId="46F18F7D" w:rsidR="00CA07DA" w:rsidRDefault="00CA07DA" w:rsidP="00B23D3D">
      <w:pPr>
        <w:pStyle w:val="Paragraphedeliste"/>
        <w:spacing w:line="276" w:lineRule="auto"/>
        <w:ind w:left="0"/>
        <w:jc w:val="both"/>
        <w:rPr>
          <w:rFonts w:ascii="Arial" w:hAnsi="Arial" w:cs="Arial"/>
          <w:iCs/>
          <w:sz w:val="20"/>
          <w:szCs w:val="20"/>
        </w:rPr>
      </w:pPr>
    </w:p>
    <w:p w14:paraId="65D7D775" w14:textId="5D183646" w:rsidR="00CA07DA" w:rsidRDefault="00CA07DA" w:rsidP="00CA07DA">
      <w:pPr>
        <w:autoSpaceDE w:val="0"/>
        <w:autoSpaceDN w:val="0"/>
        <w:adjustRightInd w:val="0"/>
        <w:rPr>
          <w:rFonts w:ascii="Open Sans" w:hAnsi="Open Sans" w:cs="Open Sans"/>
          <w:b/>
          <w:bCs/>
          <w:sz w:val="20"/>
          <w:szCs w:val="20"/>
        </w:rPr>
      </w:pPr>
      <w:r w:rsidRPr="00CA07DA">
        <w:rPr>
          <w:rFonts w:ascii="Open Sans" w:hAnsi="Open Sans" w:cs="Open Sans"/>
          <w:i/>
          <w:iCs/>
          <w:sz w:val="20"/>
          <w:szCs w:val="20"/>
        </w:rPr>
        <w:t>Plateau</w:t>
      </w:r>
    </w:p>
    <w:p w14:paraId="24719F23" w14:textId="77777777" w:rsidR="00CA07DA" w:rsidRDefault="00CA07DA" w:rsidP="00CA07DA">
      <w:r>
        <w:rPr>
          <w:noProof/>
        </w:rPr>
        <w:drawing>
          <wp:inline distT="0" distB="0" distL="0" distR="0" wp14:anchorId="49064FFE" wp14:editId="1237B1CC">
            <wp:extent cx="5772186" cy="2686058"/>
            <wp:effectExtent l="0" t="0" r="0" b="0"/>
            <wp:docPr id="1040691806" name="Image 1040691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rcRect l="2884" b="15060"/>
                    <a:stretch>
                      <a:fillRect/>
                    </a:stretch>
                  </pic:blipFill>
                  <pic:spPr>
                    <a:xfrm>
                      <a:off x="0" y="0"/>
                      <a:ext cx="5772186" cy="2686058"/>
                    </a:xfrm>
                    <a:prstGeom prst="rect">
                      <a:avLst/>
                    </a:prstGeom>
                  </pic:spPr>
                </pic:pic>
              </a:graphicData>
            </a:graphic>
          </wp:inline>
        </w:drawing>
      </w:r>
    </w:p>
    <w:p w14:paraId="35F2D051" w14:textId="77777777" w:rsidR="00CA07DA" w:rsidRDefault="00CA07DA" w:rsidP="00CA07DA">
      <w:pPr>
        <w:autoSpaceDE w:val="0"/>
        <w:autoSpaceDN w:val="0"/>
        <w:adjustRightInd w:val="0"/>
      </w:pPr>
    </w:p>
    <w:p w14:paraId="3F2E7BA8" w14:textId="04E7066E" w:rsidR="00CA07DA" w:rsidRDefault="00CA07DA" w:rsidP="00CA07DA">
      <w:pPr>
        <w:autoSpaceDE w:val="0"/>
        <w:autoSpaceDN w:val="0"/>
        <w:adjustRightInd w:val="0"/>
      </w:pPr>
    </w:p>
    <w:p w14:paraId="2DEE6C20" w14:textId="2EB6CA03" w:rsidR="00CA07DA" w:rsidRDefault="00CA07DA" w:rsidP="00CA07DA">
      <w:pPr>
        <w:autoSpaceDE w:val="0"/>
        <w:autoSpaceDN w:val="0"/>
        <w:adjustRightInd w:val="0"/>
      </w:pPr>
    </w:p>
    <w:p w14:paraId="3570AC62" w14:textId="3E91F688" w:rsidR="00CA07DA" w:rsidRDefault="00CA07DA" w:rsidP="00CA07DA">
      <w:pPr>
        <w:autoSpaceDE w:val="0"/>
        <w:autoSpaceDN w:val="0"/>
        <w:adjustRightInd w:val="0"/>
      </w:pPr>
    </w:p>
    <w:p w14:paraId="00AB8B76" w14:textId="77777777" w:rsidR="00CA07DA" w:rsidRDefault="00CA07DA" w:rsidP="00CA07DA">
      <w:pPr>
        <w:autoSpaceDE w:val="0"/>
        <w:autoSpaceDN w:val="0"/>
        <w:adjustRightInd w:val="0"/>
      </w:pPr>
    </w:p>
    <w:p w14:paraId="754AB9C3" w14:textId="77777777" w:rsidR="00CA07DA" w:rsidRDefault="00CA07DA" w:rsidP="00CA07DA">
      <w:pPr>
        <w:rPr>
          <w:rFonts w:ascii="Open Sans" w:hAnsi="Open Sans" w:cs="Open Sans"/>
          <w:sz w:val="20"/>
          <w:szCs w:val="20"/>
        </w:rPr>
      </w:pPr>
    </w:p>
    <w:p w14:paraId="4EC576F5" w14:textId="77777777" w:rsidR="00CA07DA" w:rsidRPr="00CA07DA" w:rsidRDefault="00CA07DA" w:rsidP="00CA07DA">
      <w:pPr>
        <w:autoSpaceDE w:val="0"/>
        <w:autoSpaceDN w:val="0"/>
        <w:adjustRightInd w:val="0"/>
        <w:rPr>
          <w:rFonts w:ascii="Open Sans" w:hAnsi="Open Sans" w:cs="Open Sans"/>
          <w:i/>
          <w:iCs/>
          <w:sz w:val="20"/>
          <w:szCs w:val="20"/>
        </w:rPr>
      </w:pPr>
      <w:r w:rsidRPr="00CA07DA">
        <w:rPr>
          <w:rFonts w:ascii="Open Sans" w:hAnsi="Open Sans" w:cs="Open Sans"/>
          <w:i/>
          <w:iCs/>
          <w:sz w:val="20"/>
          <w:szCs w:val="20"/>
        </w:rPr>
        <w:lastRenderedPageBreak/>
        <w:t>Zoom sur le belvédère</w:t>
      </w:r>
    </w:p>
    <w:p w14:paraId="08717E6F" w14:textId="77777777" w:rsidR="00CA07DA" w:rsidRDefault="00CA07DA" w:rsidP="00CA07DA">
      <w:r>
        <w:rPr>
          <w:noProof/>
        </w:rPr>
        <w:drawing>
          <wp:inline distT="0" distB="0" distL="0" distR="0" wp14:anchorId="7DAC8F82" wp14:editId="600A7B77">
            <wp:extent cx="5943600" cy="2114577"/>
            <wp:effectExtent l="0" t="0" r="0" b="0"/>
            <wp:docPr id="592915974" name="Image 592915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rcRect t="21830"/>
                    <a:stretch>
                      <a:fillRect/>
                    </a:stretch>
                  </pic:blipFill>
                  <pic:spPr>
                    <a:xfrm>
                      <a:off x="0" y="0"/>
                      <a:ext cx="5943600" cy="2114577"/>
                    </a:xfrm>
                    <a:prstGeom prst="rect">
                      <a:avLst/>
                    </a:prstGeom>
                  </pic:spPr>
                </pic:pic>
              </a:graphicData>
            </a:graphic>
          </wp:inline>
        </w:drawing>
      </w:r>
    </w:p>
    <w:p w14:paraId="050C0B3F" w14:textId="77777777" w:rsidR="00CA07DA" w:rsidRDefault="00CA07DA" w:rsidP="00CA07DA">
      <w:pPr>
        <w:autoSpaceDE w:val="0"/>
        <w:autoSpaceDN w:val="0"/>
        <w:adjustRightInd w:val="0"/>
      </w:pPr>
    </w:p>
    <w:p w14:paraId="3A1815BA" w14:textId="2B9A64C2" w:rsidR="00CA07DA" w:rsidRPr="00CA07DA" w:rsidRDefault="00CA07DA" w:rsidP="00CA07DA">
      <w:pPr>
        <w:autoSpaceDE w:val="0"/>
        <w:autoSpaceDN w:val="0"/>
        <w:adjustRightInd w:val="0"/>
        <w:rPr>
          <w:rFonts w:ascii="Open Sans" w:hAnsi="Open Sans" w:cs="Open Sans"/>
          <w:i/>
          <w:iCs/>
          <w:sz w:val="20"/>
          <w:szCs w:val="20"/>
        </w:rPr>
      </w:pPr>
      <w:r w:rsidRPr="00CA07DA">
        <w:rPr>
          <w:rFonts w:ascii="Open Sans" w:hAnsi="Open Sans" w:cs="Open Sans"/>
          <w:i/>
          <w:iCs/>
          <w:sz w:val="20"/>
          <w:szCs w:val="20"/>
        </w:rPr>
        <w:t>Vallée</w:t>
      </w:r>
      <w:r>
        <w:rPr>
          <w:rFonts w:ascii="Open Sans" w:hAnsi="Open Sans" w:cs="Open Sans"/>
          <w:i/>
          <w:iCs/>
          <w:sz w:val="20"/>
          <w:szCs w:val="20"/>
        </w:rPr>
        <w:t xml:space="preserve"> d’Orsay Bures</w:t>
      </w:r>
    </w:p>
    <w:p w14:paraId="470F8B06" w14:textId="77777777" w:rsidR="00CA07DA" w:rsidRDefault="00CA07DA" w:rsidP="00CA07DA">
      <w:r w:rsidRPr="00EC7271">
        <w:rPr>
          <w:noProof/>
          <w:color w:val="2B579A"/>
          <w:shd w:val="clear" w:color="auto" w:fill="E6E6E6"/>
        </w:rPr>
        <mc:AlternateContent>
          <mc:Choice Requires="wps">
            <w:drawing>
              <wp:anchor distT="0" distB="0" distL="114300" distR="114300" simplePos="0" relativeHeight="251661312" behindDoc="0" locked="0" layoutInCell="1" allowOverlap="1" wp14:anchorId="2E5C0EF3" wp14:editId="1CB65D1E">
                <wp:simplePos x="0" y="0"/>
                <wp:positionH relativeFrom="margin">
                  <wp:posOffset>3152175</wp:posOffset>
                </wp:positionH>
                <wp:positionV relativeFrom="paragraph">
                  <wp:posOffset>84297</wp:posOffset>
                </wp:positionV>
                <wp:extent cx="2795270" cy="1600498"/>
                <wp:effectExtent l="19050" t="57150" r="5080" b="57150"/>
                <wp:wrapNone/>
                <wp:docPr id="24" name="Ellipse 24"/>
                <wp:cNvGraphicFramePr/>
                <a:graphic xmlns:a="http://schemas.openxmlformats.org/drawingml/2006/main">
                  <a:graphicData uri="http://schemas.microsoft.com/office/word/2010/wordprocessingShape">
                    <wps:wsp>
                      <wps:cNvSpPr/>
                      <wps:spPr>
                        <a:xfrm rot="598571">
                          <a:off x="0" y="0"/>
                          <a:ext cx="2795270" cy="1600498"/>
                        </a:xfrm>
                        <a:prstGeom prst="ellipse">
                          <a:avLst/>
                        </a:prstGeom>
                        <a:noFill/>
                        <a:ln w="28575">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7CA40271" w14:textId="77777777" w:rsidR="00CA07DA" w:rsidRPr="00376DD3" w:rsidRDefault="00CA07DA" w:rsidP="00CA07DA">
                            <w:pPr>
                              <w:rPr>
                                <w:b/>
                                <w:bCs/>
                                <w:color w:val="244061" w:themeColor="accent1" w:themeShade="80"/>
                                <w:sz w:val="44"/>
                                <w:szCs w:val="44"/>
                              </w:rPr>
                            </w:pPr>
                            <w:r w:rsidRPr="00376DD3">
                              <w:rPr>
                                <w:b/>
                                <w:bCs/>
                                <w:color w:val="244061" w:themeColor="accent1" w:themeShade="80"/>
                                <w:sz w:val="44"/>
                                <w:szCs w:val="44"/>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5C0EF3" id="Ellipse 24" o:spid="_x0000_s1026" style="position:absolute;margin-left:248.2pt;margin-top:6.65pt;width:220.1pt;height:126pt;rotation:653799fd;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" filled="f" strokecolor="#243f60 [1604]" strokeweight="2.25pt">
                <v:stroke dashstyle="3 1"/>
                <v:textbox>
                  <w:txbxContent>
                    <w:p w14:paraId="7CA40271" w14:textId="77777777" w:rsidR="00CA07DA" w:rsidRPr="00376DD3" w:rsidRDefault="00CA07DA" w:rsidP="00CA07DA">
                      <w:pPr>
                        <w:rPr>
                          <w:b/>
                          <w:bCs/>
                          <w:color w:val="244061" w:themeColor="accent1" w:themeShade="80"/>
                          <w:sz w:val="44"/>
                          <w:szCs w:val="44"/>
                        </w:rPr>
                      </w:pPr>
                      <w:r w:rsidRPr="00376DD3">
                        <w:rPr>
                          <w:b/>
                          <w:bCs/>
                          <w:color w:val="244061" w:themeColor="accent1" w:themeShade="80"/>
                          <w:sz w:val="44"/>
                          <w:szCs w:val="44"/>
                        </w:rPr>
                        <w:t>1</w:t>
                      </w:r>
                    </w:p>
                  </w:txbxContent>
                </v:textbox>
                <w10:wrap anchorx="margin"/>
              </v:oval>
            </w:pict>
          </mc:Fallback>
        </mc:AlternateContent>
      </w:r>
      <w:r w:rsidRPr="00EC7271">
        <w:rPr>
          <w:noProof/>
          <w:color w:val="2B579A"/>
          <w:shd w:val="clear" w:color="auto" w:fill="E6E6E6"/>
        </w:rPr>
        <mc:AlternateContent>
          <mc:Choice Requires="wps">
            <w:drawing>
              <wp:anchor distT="0" distB="0" distL="114300" distR="114300" simplePos="0" relativeHeight="251662336" behindDoc="0" locked="0" layoutInCell="1" allowOverlap="1" wp14:anchorId="1B1EFD66" wp14:editId="0EEC000F">
                <wp:simplePos x="0" y="0"/>
                <wp:positionH relativeFrom="column">
                  <wp:posOffset>30481</wp:posOffset>
                </wp:positionH>
                <wp:positionV relativeFrom="paragraph">
                  <wp:posOffset>80646</wp:posOffset>
                </wp:positionV>
                <wp:extent cx="3117999" cy="1539266"/>
                <wp:effectExtent l="0" t="76200" r="6350" b="80010"/>
                <wp:wrapNone/>
                <wp:docPr id="25" name="Ellipse 25"/>
                <wp:cNvGraphicFramePr/>
                <a:graphic xmlns:a="http://schemas.openxmlformats.org/drawingml/2006/main">
                  <a:graphicData uri="http://schemas.microsoft.com/office/word/2010/wordprocessingShape">
                    <wps:wsp>
                      <wps:cNvSpPr/>
                      <wps:spPr>
                        <a:xfrm rot="20885683">
                          <a:off x="0" y="0"/>
                          <a:ext cx="3117999" cy="1539266"/>
                        </a:xfrm>
                        <a:prstGeom prst="ellipse">
                          <a:avLst/>
                        </a:prstGeom>
                        <a:noFill/>
                        <a:ln w="28575">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54FB0804" w14:textId="77777777" w:rsidR="00CA07DA" w:rsidRPr="00376DD3" w:rsidRDefault="00CA07DA" w:rsidP="00CA07DA">
                            <w:pPr>
                              <w:rPr>
                                <w:b/>
                                <w:bCs/>
                                <w:color w:val="244061" w:themeColor="accent1" w:themeShade="80"/>
                                <w:sz w:val="44"/>
                                <w:szCs w:val="44"/>
                              </w:rPr>
                            </w:pPr>
                            <w:r w:rsidRPr="00376DD3">
                              <w:rPr>
                                <w:b/>
                                <w:bCs/>
                                <w:color w:val="244061" w:themeColor="accent1" w:themeShade="80"/>
                                <w:sz w:val="44"/>
                                <w:szCs w:val="44"/>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B1EFD66" id="Ellipse 25" o:spid="_x0000_s1027" style="position:absolute;margin-left:2.4pt;margin-top:6.35pt;width:245.5pt;height:121.2pt;rotation:-780225fd;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" filled="f" strokecolor="#243f60 [1604]" strokeweight="2.25pt">
                <v:stroke dashstyle="3 1"/>
                <v:textbox>
                  <w:txbxContent>
                    <w:p w14:paraId="54FB0804" w14:textId="77777777" w:rsidR="00CA07DA" w:rsidRPr="00376DD3" w:rsidRDefault="00CA07DA" w:rsidP="00CA07DA">
                      <w:pPr>
                        <w:rPr>
                          <w:b/>
                          <w:bCs/>
                          <w:color w:val="244061" w:themeColor="accent1" w:themeShade="80"/>
                          <w:sz w:val="44"/>
                          <w:szCs w:val="44"/>
                        </w:rPr>
                      </w:pPr>
                      <w:r w:rsidRPr="00376DD3">
                        <w:rPr>
                          <w:b/>
                          <w:bCs/>
                          <w:color w:val="244061" w:themeColor="accent1" w:themeShade="80"/>
                          <w:sz w:val="44"/>
                          <w:szCs w:val="44"/>
                        </w:rPr>
                        <w:t>2</w:t>
                      </w:r>
                    </w:p>
                  </w:txbxContent>
                </v:textbox>
              </v:oval>
            </w:pict>
          </mc:Fallback>
        </mc:AlternateContent>
      </w:r>
      <w:r w:rsidRPr="00EC7271">
        <w:rPr>
          <w:noProof/>
          <w:color w:val="2B579A"/>
          <w:shd w:val="clear" w:color="auto" w:fill="E6E6E6"/>
        </w:rPr>
        <mc:AlternateContent>
          <mc:Choice Requires="wps">
            <w:drawing>
              <wp:anchor distT="0" distB="0" distL="114300" distR="114300" simplePos="0" relativeHeight="251663360" behindDoc="0" locked="0" layoutInCell="1" allowOverlap="1" wp14:anchorId="0ECAF64D" wp14:editId="1B5799F4">
                <wp:simplePos x="0" y="0"/>
                <wp:positionH relativeFrom="column">
                  <wp:posOffset>768985</wp:posOffset>
                </wp:positionH>
                <wp:positionV relativeFrom="paragraph">
                  <wp:posOffset>1539875</wp:posOffset>
                </wp:positionV>
                <wp:extent cx="4345916" cy="1274912"/>
                <wp:effectExtent l="19050" t="19050" r="17145" b="20955"/>
                <wp:wrapNone/>
                <wp:docPr id="26" name="Ellipse 26"/>
                <wp:cNvGraphicFramePr/>
                <a:graphic xmlns:a="http://schemas.openxmlformats.org/drawingml/2006/main">
                  <a:graphicData uri="http://schemas.microsoft.com/office/word/2010/wordprocessingShape">
                    <wps:wsp>
                      <wps:cNvSpPr/>
                      <wps:spPr>
                        <a:xfrm>
                          <a:off x="0" y="0"/>
                          <a:ext cx="4345916" cy="1274912"/>
                        </a:xfrm>
                        <a:prstGeom prst="ellipse">
                          <a:avLst/>
                        </a:prstGeom>
                        <a:noFill/>
                        <a:ln w="28575">
                          <a:prstDash val="sysDash"/>
                        </a:ln>
                      </wps:spPr>
                      <wps:style>
                        <a:lnRef idx="2">
                          <a:schemeClr val="accent1">
                            <a:shade val="50000"/>
                          </a:schemeClr>
                        </a:lnRef>
                        <a:fillRef idx="1">
                          <a:schemeClr val="accent1"/>
                        </a:fillRef>
                        <a:effectRef idx="0">
                          <a:schemeClr val="accent1"/>
                        </a:effectRef>
                        <a:fontRef idx="minor">
                          <a:schemeClr val="lt1"/>
                        </a:fontRef>
                      </wps:style>
                      <wps:txbx>
                        <w:txbxContent>
                          <w:p w14:paraId="76EB1CF0" w14:textId="77777777" w:rsidR="00CA07DA" w:rsidRDefault="00CA07DA" w:rsidP="00CA07DA">
                            <w:pPr>
                              <w:rPr>
                                <w:b/>
                                <w:bCs/>
                                <w:color w:val="244061" w:themeColor="accent1" w:themeShade="80"/>
                                <w:sz w:val="44"/>
                                <w:szCs w:val="44"/>
                              </w:rPr>
                            </w:pPr>
                          </w:p>
                          <w:p w14:paraId="34C213E1" w14:textId="77777777" w:rsidR="00CA07DA" w:rsidRPr="00376DD3" w:rsidRDefault="00CA07DA" w:rsidP="00CA07DA">
                            <w:pPr>
                              <w:rPr>
                                <w:b/>
                                <w:bCs/>
                                <w:color w:val="244061" w:themeColor="accent1" w:themeShade="80"/>
                                <w:sz w:val="44"/>
                                <w:szCs w:val="44"/>
                              </w:rPr>
                            </w:pPr>
                            <w:r w:rsidRPr="00376DD3">
                              <w:rPr>
                                <w:b/>
                                <w:bCs/>
                                <w:color w:val="244061" w:themeColor="accent1" w:themeShade="80"/>
                                <w:sz w:val="44"/>
                                <w:szCs w:val="44"/>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CAF64D" id="Ellipse 26" o:spid="_x0000_s1028" style="position:absolute;margin-left:60.55pt;margin-top:121.25pt;width:342.2pt;height:100.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" filled="f" strokecolor="#243f60 [1604]" strokeweight="2.25pt">
                <v:stroke dashstyle="3 1"/>
                <v:textbox>
                  <w:txbxContent>
                    <w:p w14:paraId="76EB1CF0" w14:textId="77777777" w:rsidR="00CA07DA" w:rsidRDefault="00CA07DA" w:rsidP="00CA07DA">
                      <w:pPr>
                        <w:rPr>
                          <w:b/>
                          <w:bCs/>
                          <w:color w:val="244061" w:themeColor="accent1" w:themeShade="80"/>
                          <w:sz w:val="44"/>
                          <w:szCs w:val="44"/>
                        </w:rPr>
                      </w:pPr>
                    </w:p>
                    <w:p w14:paraId="34C213E1" w14:textId="77777777" w:rsidR="00CA07DA" w:rsidRPr="00376DD3" w:rsidRDefault="00CA07DA" w:rsidP="00CA07DA">
                      <w:pPr>
                        <w:rPr>
                          <w:b/>
                          <w:bCs/>
                          <w:color w:val="244061" w:themeColor="accent1" w:themeShade="80"/>
                          <w:sz w:val="44"/>
                          <w:szCs w:val="44"/>
                        </w:rPr>
                      </w:pPr>
                      <w:r w:rsidRPr="00376DD3">
                        <w:rPr>
                          <w:b/>
                          <w:bCs/>
                          <w:color w:val="244061" w:themeColor="accent1" w:themeShade="80"/>
                          <w:sz w:val="44"/>
                          <w:szCs w:val="44"/>
                        </w:rPr>
                        <w:t>3</w:t>
                      </w:r>
                    </w:p>
                  </w:txbxContent>
                </v:textbox>
              </v:oval>
            </w:pict>
          </mc:Fallback>
        </mc:AlternateContent>
      </w:r>
      <w:r>
        <w:rPr>
          <w:noProof/>
        </w:rPr>
        <w:drawing>
          <wp:inline distT="0" distB="0" distL="0" distR="0" wp14:anchorId="0AB9DF0A" wp14:editId="17AE3B5B">
            <wp:extent cx="5943600" cy="2876550"/>
            <wp:effectExtent l="0" t="0" r="0" b="0"/>
            <wp:docPr id="984392359" name="Image 98439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2876550"/>
                    </a:xfrm>
                    <a:prstGeom prst="rect">
                      <a:avLst/>
                    </a:prstGeom>
                  </pic:spPr>
                </pic:pic>
              </a:graphicData>
            </a:graphic>
          </wp:inline>
        </w:drawing>
      </w:r>
    </w:p>
    <w:p w14:paraId="3A553295" w14:textId="77777777" w:rsidR="00CA07DA" w:rsidRDefault="00CA07DA" w:rsidP="00CA07DA">
      <w:pPr>
        <w:rPr>
          <w:rFonts w:ascii="Open Sans" w:hAnsi="Open Sans" w:cs="Open Sans"/>
          <w:sz w:val="20"/>
          <w:szCs w:val="20"/>
        </w:rPr>
      </w:pPr>
    </w:p>
    <w:p w14:paraId="718249F4" w14:textId="77777777" w:rsidR="00CA07DA" w:rsidRDefault="00CA07DA" w:rsidP="00CA07DA">
      <w:pPr>
        <w:rPr>
          <w:rFonts w:ascii="Open Sans" w:hAnsi="Open Sans" w:cs="Open Sans"/>
          <w:sz w:val="20"/>
          <w:szCs w:val="20"/>
        </w:rPr>
      </w:pPr>
    </w:p>
    <w:p w14:paraId="4D831F01" w14:textId="77777777" w:rsidR="00CA07DA" w:rsidRPr="00CA07DA" w:rsidRDefault="00CA07DA" w:rsidP="00CA07DA">
      <w:pPr>
        <w:autoSpaceDE w:val="0"/>
        <w:autoSpaceDN w:val="0"/>
        <w:adjustRightInd w:val="0"/>
        <w:jc w:val="both"/>
        <w:rPr>
          <w:rFonts w:ascii="Arial" w:hAnsi="Arial" w:cs="Arial"/>
          <w:iCs/>
          <w:sz w:val="20"/>
          <w:szCs w:val="20"/>
        </w:rPr>
      </w:pPr>
      <w:r w:rsidRPr="00CA07DA">
        <w:rPr>
          <w:rFonts w:ascii="Arial" w:hAnsi="Arial" w:cs="Arial"/>
          <w:iCs/>
          <w:sz w:val="20"/>
          <w:szCs w:val="20"/>
        </w:rPr>
        <w:t>Aujourd’hui, les activités du campus-vallée peuvent être schématiquement regroupées en 3 pôles (voir plan ci-dessus) :</w:t>
      </w:r>
    </w:p>
    <w:p w14:paraId="3A495077" w14:textId="77777777" w:rsidR="00CA07DA" w:rsidRPr="00CA07DA" w:rsidRDefault="00CA07DA" w:rsidP="00041800">
      <w:pPr>
        <w:pStyle w:val="Paragraphedeliste"/>
        <w:numPr>
          <w:ilvl w:val="0"/>
          <w:numId w:val="20"/>
        </w:numPr>
        <w:autoSpaceDE w:val="0"/>
        <w:autoSpaceDN w:val="0"/>
        <w:adjustRightInd w:val="0"/>
        <w:contextualSpacing w:val="0"/>
        <w:jc w:val="both"/>
        <w:rPr>
          <w:rFonts w:ascii="Arial" w:hAnsi="Arial" w:cs="Arial"/>
          <w:iCs/>
          <w:sz w:val="20"/>
          <w:szCs w:val="20"/>
        </w:rPr>
      </w:pPr>
      <w:proofErr w:type="gramStart"/>
      <w:r w:rsidRPr="00CA07DA">
        <w:rPr>
          <w:rFonts w:ascii="Arial" w:hAnsi="Arial" w:cs="Arial"/>
          <w:iCs/>
          <w:sz w:val="20"/>
          <w:szCs w:val="20"/>
        </w:rPr>
        <w:t>au</w:t>
      </w:r>
      <w:proofErr w:type="gramEnd"/>
      <w:r w:rsidRPr="00CA07DA">
        <w:rPr>
          <w:rFonts w:ascii="Arial" w:hAnsi="Arial" w:cs="Arial"/>
          <w:iCs/>
          <w:sz w:val="20"/>
          <w:szCs w:val="20"/>
        </w:rPr>
        <w:t xml:space="preserve"> Nord-Est (1) : l’enseignement, la recherche en mathématiques et en biologie (Faculté des Sciences, des Sciences du Sport et Droit Economie Gestion), les résidences étudiantes et les services administratifs, avec un débouché sur la voirie communale, lien Est/Ouest de la rue de la </w:t>
      </w:r>
      <w:proofErr w:type="spellStart"/>
      <w:r w:rsidRPr="00CA07DA">
        <w:rPr>
          <w:rFonts w:ascii="Arial" w:hAnsi="Arial" w:cs="Arial"/>
          <w:iCs/>
          <w:sz w:val="20"/>
          <w:szCs w:val="20"/>
        </w:rPr>
        <w:t>Guyonnerie</w:t>
      </w:r>
      <w:proofErr w:type="spellEnd"/>
      <w:r w:rsidRPr="00CA07DA">
        <w:rPr>
          <w:rFonts w:ascii="Arial" w:hAnsi="Arial" w:cs="Arial"/>
          <w:iCs/>
          <w:sz w:val="20"/>
          <w:szCs w:val="20"/>
        </w:rPr>
        <w:t xml:space="preserve"> ;</w:t>
      </w:r>
    </w:p>
    <w:p w14:paraId="29A0BCAC" w14:textId="77777777" w:rsidR="00CA07DA" w:rsidRPr="00CA07DA" w:rsidRDefault="00CA07DA" w:rsidP="00041800">
      <w:pPr>
        <w:pStyle w:val="Paragraphedeliste"/>
        <w:numPr>
          <w:ilvl w:val="0"/>
          <w:numId w:val="20"/>
        </w:numPr>
        <w:autoSpaceDE w:val="0"/>
        <w:autoSpaceDN w:val="0"/>
        <w:adjustRightInd w:val="0"/>
        <w:contextualSpacing w:val="0"/>
        <w:jc w:val="both"/>
        <w:rPr>
          <w:rFonts w:ascii="Arial" w:hAnsi="Arial" w:cs="Arial"/>
          <w:iCs/>
          <w:sz w:val="20"/>
          <w:szCs w:val="20"/>
        </w:rPr>
      </w:pPr>
      <w:proofErr w:type="gramStart"/>
      <w:r w:rsidRPr="00CA07DA">
        <w:rPr>
          <w:rFonts w:ascii="Arial" w:hAnsi="Arial" w:cs="Arial"/>
          <w:iCs/>
          <w:sz w:val="20"/>
          <w:szCs w:val="20"/>
        </w:rPr>
        <w:t>à</w:t>
      </w:r>
      <w:proofErr w:type="gramEnd"/>
      <w:r w:rsidRPr="00CA07DA">
        <w:rPr>
          <w:rFonts w:ascii="Arial" w:hAnsi="Arial" w:cs="Arial"/>
          <w:iCs/>
          <w:sz w:val="20"/>
          <w:szCs w:val="20"/>
        </w:rPr>
        <w:t xml:space="preserve"> l’Ouest (2) : l’enseignement de licence des facultés des Sciences et des Sciences du Sport et leurs équipements d’entrainement puis les résidences étudiantes et équipement de vie de campus (MAPS) jusqu’au tissu urbain de Bures-sur-Yvette et l’entrée du campus le long de l’Yvette ;</w:t>
      </w:r>
    </w:p>
    <w:p w14:paraId="1672EB5A" w14:textId="77777777" w:rsidR="00CA07DA" w:rsidRPr="00CA07DA" w:rsidRDefault="00CA07DA" w:rsidP="00041800">
      <w:pPr>
        <w:pStyle w:val="Paragraphedeliste"/>
        <w:numPr>
          <w:ilvl w:val="0"/>
          <w:numId w:val="20"/>
        </w:numPr>
        <w:autoSpaceDE w:val="0"/>
        <w:autoSpaceDN w:val="0"/>
        <w:adjustRightInd w:val="0"/>
        <w:contextualSpacing w:val="0"/>
        <w:jc w:val="both"/>
        <w:rPr>
          <w:rFonts w:ascii="Arial" w:hAnsi="Arial" w:cs="Arial"/>
          <w:iCs/>
          <w:sz w:val="20"/>
          <w:szCs w:val="20"/>
        </w:rPr>
      </w:pPr>
      <w:proofErr w:type="gramStart"/>
      <w:r w:rsidRPr="00CA07DA">
        <w:rPr>
          <w:rFonts w:ascii="Arial" w:hAnsi="Arial" w:cs="Arial"/>
          <w:iCs/>
          <w:sz w:val="20"/>
          <w:szCs w:val="20"/>
        </w:rPr>
        <w:t>au</w:t>
      </w:r>
      <w:proofErr w:type="gramEnd"/>
      <w:r w:rsidRPr="00CA07DA">
        <w:rPr>
          <w:rFonts w:ascii="Arial" w:hAnsi="Arial" w:cs="Arial"/>
          <w:iCs/>
          <w:sz w:val="20"/>
          <w:szCs w:val="20"/>
        </w:rPr>
        <w:t xml:space="preserve"> Sud (3) : la recherche physique et les services administratifs puis des équipements publics de la ville d’Orsay, secteur regroupant deux entrées du campus-vallée et permettant d’accéder l’une à l’axe Est-Ouest vers Bures-sur-Yvette, l’autre à l’axe Nord Sud reliant la gare d’Orsay à la rue de la </w:t>
      </w:r>
      <w:proofErr w:type="spellStart"/>
      <w:r w:rsidRPr="00CA07DA">
        <w:rPr>
          <w:rFonts w:ascii="Arial" w:hAnsi="Arial" w:cs="Arial"/>
          <w:iCs/>
          <w:sz w:val="20"/>
          <w:szCs w:val="20"/>
        </w:rPr>
        <w:t>Guyonnerie</w:t>
      </w:r>
      <w:proofErr w:type="spellEnd"/>
      <w:r w:rsidRPr="00CA07DA">
        <w:rPr>
          <w:rFonts w:ascii="Arial" w:hAnsi="Arial" w:cs="Arial"/>
          <w:iCs/>
          <w:sz w:val="20"/>
          <w:szCs w:val="20"/>
        </w:rPr>
        <w:t xml:space="preserve"> par le pôle Nord Est.</w:t>
      </w:r>
    </w:p>
    <w:p w14:paraId="51BB9F81" w14:textId="77777777" w:rsidR="00CA07DA" w:rsidRPr="00CA07DA" w:rsidRDefault="00CA07DA" w:rsidP="00CA07DA">
      <w:pPr>
        <w:autoSpaceDE w:val="0"/>
        <w:autoSpaceDN w:val="0"/>
        <w:adjustRightInd w:val="0"/>
        <w:jc w:val="both"/>
        <w:rPr>
          <w:rFonts w:ascii="Arial" w:hAnsi="Arial" w:cs="Arial"/>
          <w:iCs/>
          <w:sz w:val="20"/>
          <w:szCs w:val="20"/>
        </w:rPr>
      </w:pPr>
    </w:p>
    <w:p w14:paraId="25E30077" w14:textId="77777777" w:rsidR="00CA07DA" w:rsidRPr="00CA07DA" w:rsidRDefault="00CA07DA" w:rsidP="00CA07DA">
      <w:pPr>
        <w:autoSpaceDE w:val="0"/>
        <w:autoSpaceDN w:val="0"/>
        <w:adjustRightInd w:val="0"/>
        <w:jc w:val="both"/>
        <w:rPr>
          <w:rFonts w:ascii="Arial" w:hAnsi="Arial" w:cs="Arial"/>
          <w:iCs/>
          <w:sz w:val="20"/>
          <w:szCs w:val="20"/>
        </w:rPr>
      </w:pPr>
      <w:r w:rsidRPr="00CA07DA">
        <w:rPr>
          <w:rFonts w:ascii="Arial" w:hAnsi="Arial" w:cs="Arial"/>
          <w:iCs/>
          <w:sz w:val="20"/>
          <w:szCs w:val="20"/>
        </w:rPr>
        <w:t>Le site est également partagé avec des partenaires tels que l’Institut Curie, le CNRS, l’IRSN, notamment.</w:t>
      </w:r>
    </w:p>
    <w:p w14:paraId="10959E97" w14:textId="685A7D87" w:rsidR="00CA07DA" w:rsidRDefault="00CA07DA" w:rsidP="00CA07DA">
      <w:pPr>
        <w:autoSpaceDE w:val="0"/>
        <w:autoSpaceDN w:val="0"/>
        <w:adjustRightInd w:val="0"/>
        <w:jc w:val="both"/>
        <w:rPr>
          <w:rFonts w:ascii="Arial" w:hAnsi="Arial" w:cs="Arial"/>
          <w:iCs/>
          <w:sz w:val="20"/>
          <w:szCs w:val="20"/>
        </w:rPr>
      </w:pPr>
      <w:r w:rsidRPr="00CA07DA">
        <w:rPr>
          <w:rFonts w:ascii="Arial" w:hAnsi="Arial" w:cs="Arial"/>
          <w:iCs/>
          <w:sz w:val="20"/>
          <w:szCs w:val="20"/>
        </w:rPr>
        <w:t xml:space="preserve">Ces partenaires sont repérés dans </w:t>
      </w:r>
      <w:commentRangeStart w:id="57"/>
      <w:r w:rsidRPr="00CA07DA">
        <w:rPr>
          <w:rFonts w:ascii="Arial" w:hAnsi="Arial" w:cs="Arial"/>
          <w:iCs/>
          <w:sz w:val="20"/>
          <w:szCs w:val="20"/>
        </w:rPr>
        <w:t>l’annexe « Plan de repérage de partenaires ». </w:t>
      </w:r>
      <w:commentRangeEnd w:id="57"/>
      <w:r>
        <w:rPr>
          <w:rStyle w:val="Marquedecommentaire"/>
        </w:rPr>
        <w:commentReference w:id="57"/>
      </w:r>
    </w:p>
    <w:p w14:paraId="16F30BB1" w14:textId="77777777" w:rsidR="00CA07DA" w:rsidRDefault="00CA07DA" w:rsidP="00CA07DA">
      <w:pPr>
        <w:autoSpaceDE w:val="0"/>
        <w:autoSpaceDN w:val="0"/>
        <w:adjustRightInd w:val="0"/>
        <w:jc w:val="both"/>
        <w:rPr>
          <w:rFonts w:ascii="Arial" w:hAnsi="Arial" w:cs="Arial"/>
          <w:iCs/>
          <w:sz w:val="20"/>
          <w:szCs w:val="20"/>
        </w:rPr>
      </w:pPr>
    </w:p>
    <w:p w14:paraId="5385E06A" w14:textId="51FF251D" w:rsidR="00CA07DA" w:rsidRDefault="00CA07DA" w:rsidP="00CA07DA">
      <w:pPr>
        <w:autoSpaceDE w:val="0"/>
        <w:autoSpaceDN w:val="0"/>
        <w:adjustRightInd w:val="0"/>
        <w:jc w:val="both"/>
        <w:rPr>
          <w:rFonts w:ascii="Arial" w:hAnsi="Arial" w:cs="Arial"/>
          <w:iCs/>
          <w:sz w:val="20"/>
          <w:szCs w:val="20"/>
        </w:rPr>
      </w:pPr>
    </w:p>
    <w:p w14:paraId="5C176142" w14:textId="77777777" w:rsidR="00CA07DA" w:rsidRPr="00CA07DA" w:rsidRDefault="00CA07DA" w:rsidP="00CA07DA">
      <w:pPr>
        <w:autoSpaceDE w:val="0"/>
        <w:autoSpaceDN w:val="0"/>
        <w:adjustRightInd w:val="0"/>
        <w:rPr>
          <w:rFonts w:ascii="Open Sans" w:hAnsi="Open Sans" w:cs="Open Sans"/>
          <w:bCs/>
          <w:i/>
          <w:iCs/>
          <w:sz w:val="20"/>
          <w:szCs w:val="20"/>
        </w:rPr>
      </w:pPr>
      <w:r w:rsidRPr="00CA07DA">
        <w:rPr>
          <w:rFonts w:ascii="Open Sans" w:hAnsi="Open Sans" w:cs="Open Sans"/>
          <w:bCs/>
          <w:i/>
          <w:iCs/>
          <w:sz w:val="20"/>
          <w:szCs w:val="20"/>
        </w:rPr>
        <w:lastRenderedPageBreak/>
        <w:t>Situation au sein de l’OIN de l’agglomération</w:t>
      </w:r>
    </w:p>
    <w:p w14:paraId="443FBBE0" w14:textId="05144A04" w:rsidR="00CA07DA" w:rsidRPr="00CA07DA" w:rsidRDefault="00CA07DA" w:rsidP="00CA07DA">
      <w:pPr>
        <w:autoSpaceDE w:val="0"/>
        <w:autoSpaceDN w:val="0"/>
        <w:adjustRightInd w:val="0"/>
        <w:jc w:val="both"/>
        <w:rPr>
          <w:rFonts w:ascii="Arial" w:hAnsi="Arial" w:cs="Arial"/>
          <w:iCs/>
          <w:sz w:val="20"/>
          <w:szCs w:val="20"/>
        </w:rPr>
      </w:pPr>
      <w:r w:rsidRPr="00EC7271">
        <w:rPr>
          <w:rFonts w:ascii="Open Sans" w:hAnsi="Open Sans" w:cs="Open Sans"/>
          <w:noProof/>
          <w:color w:val="2B579A"/>
          <w:sz w:val="20"/>
          <w:szCs w:val="20"/>
          <w:shd w:val="clear" w:color="auto" w:fill="E6E6E6"/>
        </w:rPr>
        <w:drawing>
          <wp:inline distT="0" distB="0" distL="0" distR="0" wp14:anchorId="76681E38" wp14:editId="336F3F2B">
            <wp:extent cx="5671185" cy="4011771"/>
            <wp:effectExtent l="0" t="0" r="5715" b="825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671185" cy="4011771"/>
                    </a:xfrm>
                    <a:prstGeom prst="rect">
                      <a:avLst/>
                    </a:prstGeom>
                    <a:noFill/>
                    <a:ln>
                      <a:noFill/>
                    </a:ln>
                  </pic:spPr>
                </pic:pic>
              </a:graphicData>
            </a:graphic>
          </wp:inline>
        </w:drawing>
      </w:r>
    </w:p>
    <w:p w14:paraId="3C1A7A50" w14:textId="4DD72133" w:rsidR="00CA07DA" w:rsidRDefault="00CA07DA" w:rsidP="00B23D3D">
      <w:pPr>
        <w:pStyle w:val="Paragraphedeliste"/>
        <w:spacing w:line="276" w:lineRule="auto"/>
        <w:ind w:left="0"/>
        <w:jc w:val="both"/>
        <w:rPr>
          <w:rFonts w:ascii="Arial" w:hAnsi="Arial" w:cs="Arial"/>
          <w:iCs/>
          <w:sz w:val="20"/>
          <w:szCs w:val="20"/>
        </w:rPr>
      </w:pPr>
    </w:p>
    <w:p w14:paraId="51216D6E" w14:textId="0A6FEEE1" w:rsidR="00CA07DA" w:rsidRDefault="00CA07DA" w:rsidP="00B23D3D">
      <w:pPr>
        <w:pStyle w:val="Paragraphedeliste"/>
        <w:spacing w:line="276" w:lineRule="auto"/>
        <w:ind w:left="0"/>
        <w:jc w:val="both"/>
        <w:rPr>
          <w:rFonts w:ascii="Arial" w:hAnsi="Arial" w:cs="Arial"/>
          <w:iCs/>
          <w:sz w:val="20"/>
          <w:szCs w:val="20"/>
        </w:rPr>
      </w:pPr>
    </w:p>
    <w:p w14:paraId="032BE005" w14:textId="73F85747" w:rsidR="00CA07DA" w:rsidRDefault="00CA07DA" w:rsidP="00B23D3D">
      <w:pPr>
        <w:pStyle w:val="Paragraphedeliste"/>
        <w:spacing w:line="276" w:lineRule="auto"/>
        <w:ind w:left="0"/>
        <w:jc w:val="both"/>
        <w:rPr>
          <w:rFonts w:ascii="Arial" w:hAnsi="Arial" w:cs="Arial"/>
          <w:iCs/>
          <w:sz w:val="20"/>
          <w:szCs w:val="20"/>
          <w:u w:val="single"/>
        </w:rPr>
      </w:pPr>
      <w:r w:rsidRPr="00CA07DA">
        <w:rPr>
          <w:rFonts w:ascii="Arial" w:hAnsi="Arial" w:cs="Arial"/>
          <w:iCs/>
          <w:sz w:val="20"/>
          <w:szCs w:val="20"/>
          <w:u w:val="single"/>
        </w:rPr>
        <w:t>Le contexte règlementaire :</w:t>
      </w:r>
    </w:p>
    <w:p w14:paraId="19392C6A" w14:textId="77777777" w:rsidR="00CA07DA" w:rsidRPr="00CA07DA" w:rsidRDefault="00CA07DA" w:rsidP="00CA07DA">
      <w:pPr>
        <w:pStyle w:val="Paragraphedeliste"/>
        <w:spacing w:line="276" w:lineRule="auto"/>
        <w:ind w:left="0"/>
        <w:jc w:val="both"/>
        <w:rPr>
          <w:rFonts w:ascii="Arial" w:hAnsi="Arial" w:cs="Arial"/>
          <w:iCs/>
          <w:sz w:val="20"/>
          <w:szCs w:val="20"/>
          <w:u w:val="single"/>
        </w:rPr>
      </w:pPr>
    </w:p>
    <w:p w14:paraId="2F2621D6"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Etant situé sur trois communes, le site est rattaché au PLU de chacune des trois collectivités.</w:t>
      </w:r>
    </w:p>
    <w:p w14:paraId="64ECC896"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 xml:space="preserve">Le site fait par ailleurs l’objet de plusieurs dispositifs de protection et en particulier du </w:t>
      </w:r>
      <w:r w:rsidRPr="00684338">
        <w:rPr>
          <w:rFonts w:ascii="Arial" w:hAnsi="Arial" w:cs="Arial"/>
          <w:b/>
          <w:bCs/>
          <w:iCs/>
          <w:sz w:val="20"/>
          <w:szCs w:val="20"/>
        </w:rPr>
        <w:t xml:space="preserve">site classé de Launay </w:t>
      </w:r>
      <w:r w:rsidRPr="00CA07DA">
        <w:rPr>
          <w:rFonts w:ascii="Arial" w:hAnsi="Arial" w:cs="Arial"/>
          <w:iCs/>
          <w:sz w:val="20"/>
          <w:szCs w:val="20"/>
        </w:rPr>
        <w:t xml:space="preserve">qui s’étend jusqu’au quartier du Belvédère situé sur le plateau du </w:t>
      </w:r>
      <w:proofErr w:type="spellStart"/>
      <w:r w:rsidRPr="00CA07DA">
        <w:rPr>
          <w:rFonts w:ascii="Arial" w:hAnsi="Arial" w:cs="Arial"/>
          <w:iCs/>
          <w:sz w:val="20"/>
          <w:szCs w:val="20"/>
        </w:rPr>
        <w:t>Moulon</w:t>
      </w:r>
      <w:proofErr w:type="spellEnd"/>
      <w:r w:rsidRPr="00CA07DA">
        <w:rPr>
          <w:rFonts w:ascii="Arial" w:hAnsi="Arial" w:cs="Arial"/>
          <w:iCs/>
          <w:sz w:val="20"/>
          <w:szCs w:val="20"/>
        </w:rPr>
        <w:t>. L’arrêté ministériel émis par le Ministère d’Etat et des affaires culturelles en date du 10 novembre 1959 classe le site au titre de site pittoresque.</w:t>
      </w:r>
    </w:p>
    <w:p w14:paraId="6AD80505" w14:textId="2E89B64C"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 xml:space="preserve">Le règlement (transmis en </w:t>
      </w:r>
      <w:commentRangeStart w:id="58"/>
      <w:r w:rsidRPr="00CA07DA">
        <w:rPr>
          <w:rFonts w:ascii="Arial" w:hAnsi="Arial" w:cs="Arial"/>
          <w:iCs/>
          <w:sz w:val="20"/>
          <w:szCs w:val="20"/>
        </w:rPr>
        <w:t xml:space="preserve">annexe « Arrêté Domaine De Launay ») </w:t>
      </w:r>
      <w:commentRangeEnd w:id="58"/>
      <w:r>
        <w:rPr>
          <w:rStyle w:val="Marquedecommentaire"/>
        </w:rPr>
        <w:commentReference w:id="58"/>
      </w:r>
      <w:r w:rsidRPr="00CA07DA">
        <w:rPr>
          <w:rFonts w:ascii="Arial" w:hAnsi="Arial" w:cs="Arial"/>
          <w:iCs/>
          <w:sz w:val="20"/>
          <w:szCs w:val="20"/>
        </w:rPr>
        <w:t>prévoit le partage du campus-vallée en une zone inconstructible et une zone limitant les constructions à 15 m de hauteur.</w:t>
      </w:r>
    </w:p>
    <w:p w14:paraId="766C012E" w14:textId="1F450293" w:rsidR="00CA07DA" w:rsidRDefault="00CA07DA" w:rsidP="00B23D3D">
      <w:pPr>
        <w:pStyle w:val="Paragraphedeliste"/>
        <w:spacing w:line="276" w:lineRule="auto"/>
        <w:ind w:left="0"/>
        <w:jc w:val="both"/>
        <w:rPr>
          <w:rFonts w:ascii="Arial" w:hAnsi="Arial" w:cs="Arial"/>
          <w:iCs/>
          <w:sz w:val="20"/>
          <w:szCs w:val="20"/>
        </w:rPr>
      </w:pPr>
    </w:p>
    <w:p w14:paraId="358091A7" w14:textId="241CCD0F" w:rsidR="00CA07DA" w:rsidRDefault="00CA07DA" w:rsidP="00B23D3D">
      <w:pPr>
        <w:pStyle w:val="Paragraphedeliste"/>
        <w:spacing w:line="276" w:lineRule="auto"/>
        <w:ind w:left="0"/>
        <w:jc w:val="both"/>
        <w:rPr>
          <w:rFonts w:ascii="Arial" w:hAnsi="Arial" w:cs="Arial"/>
          <w:iCs/>
          <w:sz w:val="20"/>
          <w:szCs w:val="20"/>
        </w:rPr>
      </w:pPr>
      <w:r w:rsidRPr="00EC7271">
        <w:rPr>
          <w:rFonts w:ascii="Open Sans" w:hAnsi="Open Sans" w:cs="Open Sans"/>
          <w:noProof/>
          <w:color w:val="2B579A"/>
          <w:sz w:val="20"/>
          <w:szCs w:val="20"/>
          <w:shd w:val="clear" w:color="auto" w:fill="E6E6E6"/>
        </w:rPr>
        <w:lastRenderedPageBreak/>
        <w:drawing>
          <wp:inline distT="0" distB="0" distL="0" distR="0" wp14:anchorId="3078448D" wp14:editId="10EA99DC">
            <wp:extent cx="5622925" cy="3948183"/>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37954" cy="3958736"/>
                    </a:xfrm>
                    <a:prstGeom prst="rect">
                      <a:avLst/>
                    </a:prstGeom>
                    <a:noFill/>
                    <a:ln>
                      <a:noFill/>
                    </a:ln>
                  </pic:spPr>
                </pic:pic>
              </a:graphicData>
            </a:graphic>
          </wp:inline>
        </w:drawing>
      </w:r>
    </w:p>
    <w:p w14:paraId="7FF376F0" w14:textId="6F3DDB51" w:rsidR="00CA07DA" w:rsidRDefault="00CA07DA" w:rsidP="00B23D3D">
      <w:pPr>
        <w:pStyle w:val="Paragraphedeliste"/>
        <w:spacing w:line="276" w:lineRule="auto"/>
        <w:ind w:left="0"/>
        <w:jc w:val="both"/>
        <w:rPr>
          <w:rFonts w:ascii="Arial" w:hAnsi="Arial" w:cs="Arial"/>
          <w:iCs/>
          <w:sz w:val="20"/>
          <w:szCs w:val="20"/>
        </w:rPr>
      </w:pPr>
    </w:p>
    <w:p w14:paraId="13F8306A" w14:textId="77777777" w:rsidR="00CA07DA" w:rsidRPr="00CA07DA" w:rsidRDefault="00CA07DA" w:rsidP="00CA07DA">
      <w:pPr>
        <w:pStyle w:val="Paragraphedeliste"/>
        <w:spacing w:line="276" w:lineRule="auto"/>
        <w:ind w:left="0"/>
        <w:jc w:val="both"/>
        <w:rPr>
          <w:rFonts w:ascii="Arial" w:hAnsi="Arial" w:cs="Arial"/>
          <w:iCs/>
          <w:sz w:val="20"/>
          <w:szCs w:val="20"/>
        </w:rPr>
      </w:pPr>
      <w:bookmarkStart w:id="59" w:name="_Hlk130829490"/>
      <w:r w:rsidRPr="00CA07DA">
        <w:rPr>
          <w:rFonts w:ascii="Arial" w:hAnsi="Arial" w:cs="Arial"/>
          <w:iCs/>
          <w:sz w:val="20"/>
          <w:szCs w:val="20"/>
        </w:rPr>
        <w:t>La carte ci-dessus et transmise en annexe précise le périmètre du site classé (avec l’indication des zones constructibles et non constructibles).</w:t>
      </w:r>
    </w:p>
    <w:p w14:paraId="33660336"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Dans ce périmètre, les projets sont soumis à l’avis de l’Architecte des Bâtiments de France (avis conforme) et de l’inspection des sites.</w:t>
      </w:r>
    </w:p>
    <w:p w14:paraId="6B960B00"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 xml:space="preserve">Le reste du campus est inscrit par arrêté du ministre chargé des sites du département (article L 341-1 du code de l'environnement). </w:t>
      </w:r>
    </w:p>
    <w:p w14:paraId="7630FDC7"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Pm : Le régime juridique des sites classés et inscrits est fixé par le code de l'environnement aux articles L. 341-1 et suivants, aux articles R. 341-1 à 341-8 et l'article R. 423-67 du code de l'urbanisme.</w:t>
      </w:r>
    </w:p>
    <w:bookmarkEnd w:id="59"/>
    <w:p w14:paraId="3313A6F1" w14:textId="25D90208" w:rsidR="00CA07DA" w:rsidRDefault="00CA07DA" w:rsidP="00B23D3D">
      <w:pPr>
        <w:pStyle w:val="Paragraphedeliste"/>
        <w:spacing w:line="276" w:lineRule="auto"/>
        <w:ind w:left="0"/>
        <w:jc w:val="both"/>
        <w:rPr>
          <w:rFonts w:ascii="Arial" w:hAnsi="Arial" w:cs="Arial"/>
          <w:iCs/>
          <w:sz w:val="20"/>
          <w:szCs w:val="20"/>
        </w:rPr>
      </w:pPr>
    </w:p>
    <w:p w14:paraId="112FC134" w14:textId="4EBF2666" w:rsidR="00CA07DA" w:rsidRDefault="00CA07DA" w:rsidP="00B23D3D">
      <w:pPr>
        <w:pStyle w:val="Paragraphedeliste"/>
        <w:spacing w:line="276" w:lineRule="auto"/>
        <w:ind w:left="0"/>
        <w:jc w:val="both"/>
        <w:rPr>
          <w:rFonts w:ascii="Arial" w:hAnsi="Arial" w:cs="Arial"/>
          <w:iCs/>
          <w:sz w:val="20"/>
          <w:szCs w:val="20"/>
        </w:rPr>
      </w:pPr>
    </w:p>
    <w:p w14:paraId="72144AA4" w14:textId="705B51AD" w:rsidR="00CA07DA" w:rsidRDefault="00CA07DA" w:rsidP="00CA07DA">
      <w:pPr>
        <w:pStyle w:val="Paragraphedeliste"/>
        <w:spacing w:line="276" w:lineRule="auto"/>
        <w:ind w:left="0"/>
        <w:jc w:val="both"/>
        <w:rPr>
          <w:rFonts w:ascii="Arial" w:hAnsi="Arial" w:cs="Arial"/>
          <w:iCs/>
          <w:sz w:val="20"/>
          <w:szCs w:val="20"/>
          <w:u w:val="single"/>
        </w:rPr>
      </w:pPr>
      <w:r w:rsidRPr="00CA07DA">
        <w:rPr>
          <w:rFonts w:ascii="Arial" w:hAnsi="Arial" w:cs="Arial"/>
          <w:iCs/>
          <w:sz w:val="20"/>
          <w:szCs w:val="20"/>
          <w:u w:val="single"/>
        </w:rPr>
        <w:t xml:space="preserve">Le </w:t>
      </w:r>
      <w:r>
        <w:rPr>
          <w:rFonts w:ascii="Arial" w:hAnsi="Arial" w:cs="Arial"/>
          <w:iCs/>
          <w:sz w:val="20"/>
          <w:szCs w:val="20"/>
          <w:u w:val="single"/>
        </w:rPr>
        <w:t>jardin botanique</w:t>
      </w:r>
      <w:r w:rsidRPr="00CA07DA">
        <w:rPr>
          <w:rFonts w:ascii="Arial" w:hAnsi="Arial" w:cs="Arial"/>
          <w:iCs/>
          <w:sz w:val="20"/>
          <w:szCs w:val="20"/>
          <w:u w:val="single"/>
        </w:rPr>
        <w:t> :</w:t>
      </w:r>
    </w:p>
    <w:p w14:paraId="7A595554" w14:textId="502B5E8B" w:rsidR="00CA07DA" w:rsidRDefault="00CA07DA" w:rsidP="00CA07DA">
      <w:pPr>
        <w:pStyle w:val="Paragraphedeliste"/>
        <w:spacing w:line="276" w:lineRule="auto"/>
        <w:ind w:left="0"/>
        <w:jc w:val="both"/>
        <w:rPr>
          <w:rFonts w:ascii="Arial" w:hAnsi="Arial" w:cs="Arial"/>
          <w:iCs/>
          <w:sz w:val="20"/>
          <w:szCs w:val="20"/>
          <w:u w:val="single"/>
        </w:rPr>
      </w:pPr>
    </w:p>
    <w:p w14:paraId="057FDDD4"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L'Université Paris-Saclay possède son propre jardin botanique géré en interne. Le jardin botanique universitaire a obtenu en 2001 le label "Jardin botanique de France et des pays francophones".</w:t>
      </w:r>
    </w:p>
    <w:p w14:paraId="156DB5F5"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Il est réparti dans le campus de Bures-Orsay-Gif, sous l’appellation « Parc botanique de Launay ».</w:t>
      </w:r>
    </w:p>
    <w:p w14:paraId="2CEA245D"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En tant que "Jardin botanique de France", le parc botanique de Launay répond à certaines missions :</w:t>
      </w:r>
    </w:p>
    <w:p w14:paraId="2D81CBA5" w14:textId="77777777" w:rsidR="00CA07DA" w:rsidRPr="00CA07DA" w:rsidRDefault="00CA07DA" w:rsidP="00CA07DA">
      <w:pPr>
        <w:pStyle w:val="Paragraphedeliste"/>
        <w:spacing w:line="276" w:lineRule="auto"/>
        <w:ind w:left="0"/>
        <w:jc w:val="both"/>
        <w:rPr>
          <w:rFonts w:ascii="Arial" w:hAnsi="Arial" w:cs="Arial"/>
          <w:iCs/>
          <w:sz w:val="20"/>
          <w:szCs w:val="20"/>
        </w:rPr>
      </w:pPr>
    </w:p>
    <w:p w14:paraId="676E33D5" w14:textId="2979046B" w:rsidR="00CA07DA" w:rsidRPr="00CA07DA" w:rsidRDefault="00CA07DA" w:rsidP="00041800">
      <w:pPr>
        <w:pStyle w:val="Paragraphedeliste"/>
        <w:numPr>
          <w:ilvl w:val="0"/>
          <w:numId w:val="22"/>
        </w:numPr>
        <w:spacing w:line="276" w:lineRule="auto"/>
        <w:jc w:val="both"/>
        <w:rPr>
          <w:rFonts w:ascii="Arial" w:hAnsi="Arial" w:cs="Arial"/>
          <w:iCs/>
          <w:sz w:val="20"/>
          <w:szCs w:val="20"/>
        </w:rPr>
      </w:pPr>
      <w:r w:rsidRPr="00CA07DA">
        <w:rPr>
          <w:rFonts w:ascii="Arial" w:hAnsi="Arial" w:cs="Arial"/>
          <w:iCs/>
          <w:sz w:val="20"/>
          <w:szCs w:val="20"/>
        </w:rPr>
        <w:t>Scientifique : support à la recherche scientifique ;</w:t>
      </w:r>
    </w:p>
    <w:p w14:paraId="09C769BE" w14:textId="1EA97E24" w:rsidR="00CA07DA" w:rsidRPr="00CA07DA" w:rsidRDefault="00CA07DA" w:rsidP="00041800">
      <w:pPr>
        <w:pStyle w:val="Paragraphedeliste"/>
        <w:numPr>
          <w:ilvl w:val="0"/>
          <w:numId w:val="22"/>
        </w:numPr>
        <w:spacing w:line="276" w:lineRule="auto"/>
        <w:jc w:val="both"/>
        <w:rPr>
          <w:rFonts w:ascii="Arial" w:hAnsi="Arial" w:cs="Arial"/>
          <w:iCs/>
          <w:sz w:val="20"/>
          <w:szCs w:val="20"/>
        </w:rPr>
      </w:pPr>
      <w:r w:rsidRPr="00CA07DA">
        <w:rPr>
          <w:rFonts w:ascii="Arial" w:hAnsi="Arial" w:cs="Arial"/>
          <w:iCs/>
          <w:sz w:val="20"/>
          <w:szCs w:val="20"/>
        </w:rPr>
        <w:t>Conservation : inventaire et connaissance de la flore régionale et mondiale, conservation d’espèces végétales menacées ;</w:t>
      </w:r>
    </w:p>
    <w:p w14:paraId="42305F10" w14:textId="5A445DE4" w:rsidR="00CA07DA" w:rsidRPr="00CA07DA" w:rsidRDefault="00CA07DA" w:rsidP="00041800">
      <w:pPr>
        <w:pStyle w:val="Paragraphedeliste"/>
        <w:numPr>
          <w:ilvl w:val="0"/>
          <w:numId w:val="22"/>
        </w:numPr>
        <w:spacing w:line="276" w:lineRule="auto"/>
        <w:jc w:val="both"/>
        <w:rPr>
          <w:rFonts w:ascii="Arial" w:hAnsi="Arial" w:cs="Arial"/>
          <w:iCs/>
          <w:sz w:val="20"/>
          <w:szCs w:val="20"/>
        </w:rPr>
      </w:pPr>
      <w:r w:rsidRPr="00CA07DA">
        <w:rPr>
          <w:rFonts w:ascii="Arial" w:hAnsi="Arial" w:cs="Arial"/>
          <w:iCs/>
          <w:sz w:val="20"/>
          <w:szCs w:val="20"/>
        </w:rPr>
        <w:t>Pédagogique : diffusion de la culture scientifique, éducation des publics à la botanique, au monde du végétal et à la préservation de la biodiversité.</w:t>
      </w:r>
    </w:p>
    <w:p w14:paraId="54BBB5C3" w14:textId="77777777" w:rsidR="00CA07DA" w:rsidRPr="00CA07DA" w:rsidRDefault="00CA07DA" w:rsidP="00CA07DA">
      <w:pPr>
        <w:pStyle w:val="Paragraphedeliste"/>
        <w:spacing w:line="276" w:lineRule="auto"/>
        <w:ind w:left="0"/>
        <w:jc w:val="both"/>
        <w:rPr>
          <w:rFonts w:ascii="Arial" w:hAnsi="Arial" w:cs="Arial"/>
          <w:iCs/>
          <w:sz w:val="20"/>
          <w:szCs w:val="20"/>
        </w:rPr>
      </w:pPr>
    </w:p>
    <w:p w14:paraId="4038E896" w14:textId="77777777"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Dans ce parc, on trouve deux approches du végétal qui se complètent :</w:t>
      </w:r>
    </w:p>
    <w:p w14:paraId="623F87CD" w14:textId="77777777" w:rsidR="00CA07DA" w:rsidRPr="00CA07DA" w:rsidRDefault="00CA07DA" w:rsidP="00CA07DA">
      <w:pPr>
        <w:pStyle w:val="Paragraphedeliste"/>
        <w:spacing w:line="276" w:lineRule="auto"/>
        <w:ind w:left="0"/>
        <w:jc w:val="both"/>
        <w:rPr>
          <w:rFonts w:ascii="Arial" w:hAnsi="Arial" w:cs="Arial"/>
          <w:iCs/>
          <w:sz w:val="20"/>
          <w:szCs w:val="20"/>
        </w:rPr>
      </w:pPr>
    </w:p>
    <w:p w14:paraId="3A499DFD" w14:textId="32BB58B0" w:rsidR="00CA07DA" w:rsidRPr="00CA07DA" w:rsidRDefault="00CA07DA" w:rsidP="00041800">
      <w:pPr>
        <w:pStyle w:val="Paragraphedeliste"/>
        <w:numPr>
          <w:ilvl w:val="0"/>
          <w:numId w:val="21"/>
        </w:numPr>
        <w:spacing w:line="276" w:lineRule="auto"/>
        <w:jc w:val="both"/>
        <w:rPr>
          <w:rFonts w:ascii="Arial" w:hAnsi="Arial" w:cs="Arial"/>
          <w:iCs/>
          <w:sz w:val="20"/>
          <w:szCs w:val="20"/>
        </w:rPr>
      </w:pPr>
      <w:r w:rsidRPr="00CA07DA">
        <w:rPr>
          <w:rFonts w:ascii="Arial" w:hAnsi="Arial" w:cs="Arial"/>
          <w:iCs/>
          <w:sz w:val="20"/>
          <w:szCs w:val="20"/>
        </w:rPr>
        <w:t>Les collections qui regroupent environ 3000 taxons.</w:t>
      </w:r>
    </w:p>
    <w:p w14:paraId="353EB692" w14:textId="17A5B454" w:rsidR="00CA07DA" w:rsidRPr="00CA07DA" w:rsidRDefault="00CA07DA" w:rsidP="00041800">
      <w:pPr>
        <w:pStyle w:val="Paragraphedeliste"/>
        <w:numPr>
          <w:ilvl w:val="0"/>
          <w:numId w:val="21"/>
        </w:numPr>
        <w:spacing w:line="276" w:lineRule="auto"/>
        <w:jc w:val="both"/>
        <w:rPr>
          <w:rFonts w:ascii="Arial" w:hAnsi="Arial" w:cs="Arial"/>
          <w:iCs/>
          <w:sz w:val="20"/>
          <w:szCs w:val="20"/>
        </w:rPr>
      </w:pPr>
      <w:r w:rsidRPr="00CA07DA">
        <w:rPr>
          <w:rFonts w:ascii="Arial" w:hAnsi="Arial" w:cs="Arial"/>
          <w:iCs/>
          <w:sz w:val="20"/>
          <w:szCs w:val="20"/>
        </w:rPr>
        <w:t>Les milieux naturels ou semi-naturels (ripisylves, boisements, prairies humides, roselières, mares) par souci de préservation de l’environnement et dans un but pédagogique.</w:t>
      </w:r>
    </w:p>
    <w:p w14:paraId="41EED9B4" w14:textId="77777777" w:rsidR="00CA07DA" w:rsidRPr="00CA07DA" w:rsidRDefault="00CA07DA" w:rsidP="00CA07DA">
      <w:pPr>
        <w:pStyle w:val="Paragraphedeliste"/>
        <w:spacing w:line="276" w:lineRule="auto"/>
        <w:ind w:left="0"/>
        <w:jc w:val="both"/>
        <w:rPr>
          <w:rFonts w:ascii="Arial" w:hAnsi="Arial" w:cs="Arial"/>
          <w:iCs/>
          <w:sz w:val="20"/>
          <w:szCs w:val="20"/>
        </w:rPr>
      </w:pPr>
    </w:p>
    <w:p w14:paraId="2AD6CB0C" w14:textId="03229FFE" w:rsidR="00CA07DA" w:rsidRPr="00CA07DA" w:rsidRDefault="00CA07DA" w:rsidP="00CA07DA">
      <w:pPr>
        <w:pStyle w:val="Paragraphedeliste"/>
        <w:spacing w:line="276" w:lineRule="auto"/>
        <w:ind w:left="0"/>
        <w:jc w:val="both"/>
        <w:rPr>
          <w:rFonts w:ascii="Arial" w:hAnsi="Arial" w:cs="Arial"/>
          <w:iCs/>
          <w:sz w:val="20"/>
          <w:szCs w:val="20"/>
        </w:rPr>
      </w:pPr>
      <w:r w:rsidRPr="00CA07DA">
        <w:rPr>
          <w:rFonts w:ascii="Arial" w:hAnsi="Arial" w:cs="Arial"/>
          <w:iCs/>
          <w:sz w:val="20"/>
          <w:szCs w:val="20"/>
        </w:rPr>
        <w:t>De ce fait, le service universitaire en charge de la gestion du parc botanique participe aux études et projets afin de pouvoir prendre en compte les interfaces avec les espèces botaniques.</w:t>
      </w:r>
    </w:p>
    <w:p w14:paraId="16310833" w14:textId="1E9254AE" w:rsidR="00CA07DA" w:rsidRDefault="00CA07DA" w:rsidP="00B23D3D">
      <w:pPr>
        <w:pStyle w:val="Paragraphedeliste"/>
        <w:spacing w:line="276" w:lineRule="auto"/>
        <w:ind w:left="0"/>
        <w:jc w:val="both"/>
        <w:rPr>
          <w:rFonts w:ascii="Arial" w:hAnsi="Arial" w:cs="Arial"/>
          <w:iCs/>
          <w:sz w:val="20"/>
          <w:szCs w:val="20"/>
        </w:rPr>
      </w:pPr>
    </w:p>
    <w:p w14:paraId="710A16C4" w14:textId="5F9E8542" w:rsidR="00684338" w:rsidRDefault="00684338" w:rsidP="00684338">
      <w:pPr>
        <w:pStyle w:val="Paragraphedeliste"/>
        <w:spacing w:line="276" w:lineRule="auto"/>
        <w:ind w:left="0"/>
        <w:jc w:val="both"/>
        <w:rPr>
          <w:rFonts w:ascii="Arial" w:hAnsi="Arial" w:cs="Arial"/>
          <w:iCs/>
          <w:sz w:val="20"/>
          <w:szCs w:val="20"/>
          <w:u w:val="single"/>
        </w:rPr>
      </w:pPr>
      <w:r w:rsidRPr="00CA07DA">
        <w:rPr>
          <w:rFonts w:ascii="Arial" w:hAnsi="Arial" w:cs="Arial"/>
          <w:iCs/>
          <w:sz w:val="20"/>
          <w:szCs w:val="20"/>
          <w:u w:val="single"/>
        </w:rPr>
        <w:t xml:space="preserve">Le </w:t>
      </w:r>
      <w:r>
        <w:rPr>
          <w:rFonts w:ascii="Arial" w:hAnsi="Arial" w:cs="Arial"/>
          <w:iCs/>
          <w:sz w:val="20"/>
          <w:szCs w:val="20"/>
          <w:u w:val="single"/>
        </w:rPr>
        <w:t>campus plateau</w:t>
      </w:r>
      <w:r w:rsidRPr="00CA07DA">
        <w:rPr>
          <w:rFonts w:ascii="Arial" w:hAnsi="Arial" w:cs="Arial"/>
          <w:iCs/>
          <w:sz w:val="20"/>
          <w:szCs w:val="20"/>
          <w:u w:val="single"/>
        </w:rPr>
        <w:t> :</w:t>
      </w:r>
    </w:p>
    <w:p w14:paraId="5F6B2884" w14:textId="2CFE2D3E" w:rsidR="00684338" w:rsidRDefault="00684338" w:rsidP="00684338">
      <w:pPr>
        <w:pStyle w:val="Paragraphedeliste"/>
        <w:spacing w:line="276" w:lineRule="auto"/>
        <w:ind w:left="0"/>
        <w:jc w:val="both"/>
        <w:rPr>
          <w:rFonts w:ascii="Arial" w:hAnsi="Arial" w:cs="Arial"/>
          <w:iCs/>
          <w:sz w:val="20"/>
          <w:szCs w:val="20"/>
          <w:u w:val="single"/>
        </w:rPr>
      </w:pPr>
    </w:p>
    <w:p w14:paraId="2E1A5C78" w14:textId="5620D1F4" w:rsidR="00684338" w:rsidRDefault="00684338" w:rsidP="00684338">
      <w:pPr>
        <w:pStyle w:val="Paragraphedeliste"/>
        <w:spacing w:line="276" w:lineRule="auto"/>
        <w:ind w:left="0"/>
        <w:jc w:val="both"/>
        <w:rPr>
          <w:rFonts w:ascii="Arial" w:hAnsi="Arial" w:cs="Arial"/>
          <w:iCs/>
          <w:sz w:val="20"/>
          <w:szCs w:val="20"/>
          <w:u w:val="single"/>
        </w:rPr>
      </w:pPr>
      <w:r>
        <w:rPr>
          <w:rFonts w:ascii="Arial" w:hAnsi="Arial" w:cs="Arial"/>
          <w:iCs/>
          <w:sz w:val="20"/>
          <w:szCs w:val="20"/>
          <w:u w:val="single"/>
        </w:rPr>
        <w:t>L’IUT d’Orsay :</w:t>
      </w:r>
    </w:p>
    <w:p w14:paraId="3571D4B7" w14:textId="77777777" w:rsidR="00684338" w:rsidRPr="00684338" w:rsidRDefault="00684338" w:rsidP="00684338">
      <w:pPr>
        <w:pStyle w:val="Paragraphedeliste"/>
        <w:spacing w:line="276" w:lineRule="auto"/>
        <w:ind w:left="0"/>
        <w:jc w:val="both"/>
        <w:rPr>
          <w:rFonts w:ascii="Arial" w:hAnsi="Arial" w:cs="Arial"/>
          <w:iCs/>
          <w:sz w:val="20"/>
          <w:szCs w:val="20"/>
        </w:rPr>
      </w:pPr>
      <w:bookmarkStart w:id="60" w:name="_Hlk127451913"/>
      <w:r w:rsidRPr="00684338">
        <w:rPr>
          <w:rFonts w:ascii="Arial" w:hAnsi="Arial" w:cs="Arial"/>
          <w:iCs/>
          <w:sz w:val="20"/>
          <w:szCs w:val="20"/>
        </w:rPr>
        <w:t xml:space="preserve">L’IUT d’Orsay est l’un des premiers établissements installés sur le plateau de </w:t>
      </w:r>
      <w:proofErr w:type="spellStart"/>
      <w:r w:rsidRPr="00684338">
        <w:rPr>
          <w:rFonts w:ascii="Arial" w:hAnsi="Arial" w:cs="Arial"/>
          <w:iCs/>
          <w:sz w:val="20"/>
          <w:szCs w:val="20"/>
        </w:rPr>
        <w:t>Moulon</w:t>
      </w:r>
      <w:proofErr w:type="spellEnd"/>
      <w:r w:rsidRPr="00684338">
        <w:rPr>
          <w:rFonts w:ascii="Arial" w:hAnsi="Arial" w:cs="Arial"/>
          <w:iCs/>
          <w:sz w:val="20"/>
          <w:szCs w:val="20"/>
        </w:rPr>
        <w:t>. Conçu à l’origine dans un environnement très peu urbanisé, l’IUT a bénéficié d’un environnement végétal agréable et de sa relative proximité avec les laborato</w:t>
      </w:r>
      <w:bookmarkEnd w:id="60"/>
      <w:r w:rsidRPr="00684338">
        <w:rPr>
          <w:rFonts w:ascii="Arial" w:hAnsi="Arial" w:cs="Arial"/>
          <w:iCs/>
          <w:sz w:val="20"/>
          <w:szCs w:val="20"/>
        </w:rPr>
        <w:t>ires de recherche de la Faculté d’Orsay, mais a pâti de son éloignement des transports en commun et de l’absence de vie universitaire sur le Plateau.</w:t>
      </w:r>
    </w:p>
    <w:p w14:paraId="6AFA4EF6"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 xml:space="preserve">L’emplacement de l’IUT devient, depuis l’urbanisation du plateau et l’arrivée des écoles d’ingénieurs, extrêmement privilégié. Il permet et favorise la mutualisation d’équipements avec les autres structures du plateau. Le développement du plateau du </w:t>
      </w:r>
      <w:proofErr w:type="spellStart"/>
      <w:r w:rsidRPr="00684338">
        <w:rPr>
          <w:rFonts w:ascii="Arial" w:hAnsi="Arial" w:cs="Arial"/>
          <w:iCs/>
          <w:sz w:val="20"/>
          <w:szCs w:val="20"/>
        </w:rPr>
        <w:t>Moulon</w:t>
      </w:r>
      <w:proofErr w:type="spellEnd"/>
      <w:r w:rsidRPr="00684338">
        <w:rPr>
          <w:rFonts w:ascii="Arial" w:hAnsi="Arial" w:cs="Arial"/>
          <w:iCs/>
          <w:sz w:val="20"/>
          <w:szCs w:val="20"/>
        </w:rPr>
        <w:t xml:space="preserve"> offrira de nouvelles opportunités pour les étudiants de l’IUT, notamment avec l’arrivée de la ligne 18 </w:t>
      </w:r>
      <w:proofErr w:type="gramStart"/>
      <w:r w:rsidRPr="00684338">
        <w:rPr>
          <w:rFonts w:ascii="Arial" w:hAnsi="Arial" w:cs="Arial"/>
          <w:iCs/>
          <w:sz w:val="20"/>
          <w:szCs w:val="20"/>
        </w:rPr>
        <w:t>du métro prévue</w:t>
      </w:r>
      <w:proofErr w:type="gramEnd"/>
      <w:r w:rsidRPr="00684338">
        <w:rPr>
          <w:rFonts w:ascii="Arial" w:hAnsi="Arial" w:cs="Arial"/>
          <w:iCs/>
          <w:sz w:val="20"/>
          <w:szCs w:val="20"/>
        </w:rPr>
        <w:t xml:space="preserve"> pour fin 2026.</w:t>
      </w:r>
    </w:p>
    <w:p w14:paraId="1FB43572" w14:textId="77777777" w:rsidR="00684338" w:rsidRPr="00684338" w:rsidRDefault="00684338" w:rsidP="00684338">
      <w:pPr>
        <w:pStyle w:val="Paragraphedeliste"/>
        <w:spacing w:line="276" w:lineRule="auto"/>
        <w:ind w:left="0"/>
        <w:jc w:val="both"/>
        <w:rPr>
          <w:rFonts w:ascii="Arial" w:hAnsi="Arial" w:cs="Arial"/>
          <w:iCs/>
          <w:sz w:val="20"/>
          <w:szCs w:val="20"/>
        </w:rPr>
      </w:pPr>
    </w:p>
    <w:p w14:paraId="5F73167A"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Les formations dispensées par l’IUT ont évolué récemment, avec la création d’un parcours diplômant de trois années d’études (au lieu de deux années précédemment), augmentant ainsi le choix de formations proposées :</w:t>
      </w:r>
    </w:p>
    <w:p w14:paraId="5D322BC6"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 xml:space="preserve">BUT </w:t>
      </w:r>
      <w:proofErr w:type="spellStart"/>
      <w:r w:rsidRPr="00684338">
        <w:rPr>
          <w:rFonts w:ascii="Arial" w:hAnsi="Arial" w:cs="Arial"/>
          <w:iCs/>
          <w:sz w:val="20"/>
          <w:szCs w:val="20"/>
        </w:rPr>
        <w:t>Bachelor</w:t>
      </w:r>
      <w:proofErr w:type="spellEnd"/>
      <w:r w:rsidRPr="00684338">
        <w:rPr>
          <w:rFonts w:ascii="Arial" w:hAnsi="Arial" w:cs="Arial"/>
          <w:iCs/>
          <w:sz w:val="20"/>
          <w:szCs w:val="20"/>
        </w:rPr>
        <w:t xml:space="preserve"> universitaire de technologie (créé en 2021) : diplôme de référence des IUT délivré à l’issue d’un parcours de 3 ans,</w:t>
      </w:r>
    </w:p>
    <w:p w14:paraId="68C62285"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DUT Diplôme universitaire technologique (existant avant le BUT) : diplôme délivré à l’issue d’un parcours de 2 ans après le Bac (délivré au cours du BUT),</w:t>
      </w:r>
    </w:p>
    <w:p w14:paraId="14272F1F"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Licences Professionnelles : diplôme délivré à l’issue d’un parcours d’1 an, accessible aux titulaires d’une L2 (en formation initiale, alternance, formation continue).</w:t>
      </w:r>
    </w:p>
    <w:p w14:paraId="3E4773D5" w14:textId="77777777" w:rsidR="00684338" w:rsidRPr="00684338" w:rsidRDefault="00684338" w:rsidP="00684338">
      <w:pPr>
        <w:pStyle w:val="Paragraphedeliste"/>
        <w:spacing w:line="276" w:lineRule="auto"/>
        <w:ind w:left="0"/>
        <w:jc w:val="both"/>
        <w:rPr>
          <w:rFonts w:ascii="Arial" w:hAnsi="Arial" w:cs="Arial"/>
          <w:iCs/>
          <w:sz w:val="20"/>
          <w:szCs w:val="20"/>
        </w:rPr>
      </w:pPr>
    </w:p>
    <w:p w14:paraId="5633755D"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L’IUT d’Orsay dispense des parcours en formation continue dans chacun de ses trois départements : Chimie, Informatique, Mesures Physiques.</w:t>
      </w:r>
    </w:p>
    <w:p w14:paraId="0F2A5977"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 xml:space="preserve">En 2022 l’IUT comptait environ 1050 étudiants. </w:t>
      </w:r>
    </w:p>
    <w:p w14:paraId="66B6D430" w14:textId="77777777" w:rsidR="00684338" w:rsidRPr="00684338" w:rsidRDefault="00684338" w:rsidP="00684338">
      <w:pPr>
        <w:pStyle w:val="Paragraphedeliste"/>
        <w:spacing w:line="276" w:lineRule="auto"/>
        <w:ind w:left="0"/>
        <w:jc w:val="both"/>
        <w:rPr>
          <w:rFonts w:ascii="Arial" w:hAnsi="Arial" w:cs="Arial"/>
          <w:iCs/>
          <w:sz w:val="20"/>
          <w:szCs w:val="20"/>
        </w:rPr>
      </w:pPr>
    </w:p>
    <w:p w14:paraId="0EF72ADA"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L’IUT d’Orsay fait actuellement l’objet d’une opération de rénovation financée par le CPER et qui s’achèvera fin 2028.</w:t>
      </w:r>
    </w:p>
    <w:p w14:paraId="3B33B8E0" w14:textId="77777777" w:rsidR="00684338" w:rsidRPr="00684338" w:rsidRDefault="00684338" w:rsidP="00684338">
      <w:pPr>
        <w:pStyle w:val="Paragraphedeliste"/>
        <w:spacing w:line="276" w:lineRule="auto"/>
        <w:ind w:left="0"/>
        <w:jc w:val="both"/>
        <w:rPr>
          <w:rFonts w:ascii="Arial" w:hAnsi="Arial" w:cs="Arial"/>
          <w:iCs/>
          <w:sz w:val="20"/>
          <w:szCs w:val="20"/>
        </w:rPr>
      </w:pPr>
    </w:p>
    <w:p w14:paraId="4A482E62" w14:textId="77777777" w:rsidR="00684338" w:rsidRPr="00684338" w:rsidRDefault="00684338" w:rsidP="00684338">
      <w:pPr>
        <w:pStyle w:val="Paragraphedeliste"/>
        <w:spacing w:line="276" w:lineRule="auto"/>
        <w:ind w:left="0"/>
        <w:jc w:val="both"/>
        <w:rPr>
          <w:rFonts w:ascii="Arial" w:hAnsi="Arial" w:cs="Arial"/>
          <w:iCs/>
          <w:sz w:val="20"/>
          <w:szCs w:val="20"/>
        </w:rPr>
      </w:pPr>
    </w:p>
    <w:p w14:paraId="4E284A9B" w14:textId="77777777" w:rsidR="00684338" w:rsidRPr="00684338" w:rsidRDefault="00684338" w:rsidP="00684338">
      <w:pPr>
        <w:pStyle w:val="Paragraphedeliste"/>
        <w:spacing w:line="276" w:lineRule="auto"/>
        <w:ind w:left="0"/>
        <w:jc w:val="both"/>
        <w:rPr>
          <w:rFonts w:ascii="Arial" w:hAnsi="Arial" w:cs="Arial"/>
          <w:iCs/>
          <w:sz w:val="20"/>
          <w:szCs w:val="20"/>
          <w:u w:val="single"/>
        </w:rPr>
      </w:pPr>
      <w:bookmarkStart w:id="61" w:name="_Toc172216834"/>
      <w:r w:rsidRPr="00684338">
        <w:rPr>
          <w:rFonts w:ascii="Arial" w:hAnsi="Arial" w:cs="Arial"/>
          <w:iCs/>
          <w:sz w:val="20"/>
          <w:szCs w:val="20"/>
          <w:u w:val="single"/>
        </w:rPr>
        <w:t>Polytech Paris Saclay</w:t>
      </w:r>
      <w:bookmarkEnd w:id="61"/>
    </w:p>
    <w:p w14:paraId="238F6B4F"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 xml:space="preserve">Polytech Paris-Saclay est l’école d’ingénieurs de l’Université Paris-Saclay. Située sur le plateau de </w:t>
      </w:r>
      <w:proofErr w:type="spellStart"/>
      <w:r w:rsidRPr="00684338">
        <w:rPr>
          <w:rFonts w:ascii="Arial" w:hAnsi="Arial" w:cs="Arial"/>
          <w:iCs/>
          <w:sz w:val="20"/>
          <w:szCs w:val="20"/>
        </w:rPr>
        <w:t>Moulon</w:t>
      </w:r>
      <w:proofErr w:type="spellEnd"/>
      <w:r w:rsidRPr="00684338">
        <w:rPr>
          <w:rFonts w:ascii="Arial" w:hAnsi="Arial" w:cs="Arial"/>
          <w:iCs/>
          <w:sz w:val="20"/>
          <w:szCs w:val="20"/>
        </w:rPr>
        <w:t xml:space="preserve">, à proximité immédiate du site de l’IUT d’Orsay et du bâtiment Henri Moissan, elle compte 900 étudiants répartis en 4 spécialités techniques : </w:t>
      </w:r>
    </w:p>
    <w:p w14:paraId="50146F2B" w14:textId="77777777" w:rsidR="00684338" w:rsidRPr="00684338" w:rsidRDefault="00684338" w:rsidP="00041800">
      <w:pPr>
        <w:pStyle w:val="Paragraphedeliste"/>
        <w:numPr>
          <w:ilvl w:val="0"/>
          <w:numId w:val="23"/>
        </w:numPr>
        <w:spacing w:line="276" w:lineRule="auto"/>
        <w:jc w:val="both"/>
        <w:rPr>
          <w:rFonts w:ascii="Arial" w:hAnsi="Arial" w:cs="Arial"/>
          <w:iCs/>
          <w:sz w:val="20"/>
          <w:szCs w:val="20"/>
        </w:rPr>
      </w:pPr>
      <w:r w:rsidRPr="00684338">
        <w:rPr>
          <w:rFonts w:ascii="Arial" w:hAnsi="Arial" w:cs="Arial"/>
          <w:iCs/>
          <w:sz w:val="20"/>
          <w:szCs w:val="20"/>
        </w:rPr>
        <w:t xml:space="preserve">Electronique et informatique pour </w:t>
      </w:r>
      <w:proofErr w:type="gramStart"/>
      <w:r w:rsidRPr="00684338">
        <w:rPr>
          <w:rFonts w:ascii="Arial" w:hAnsi="Arial" w:cs="Arial"/>
          <w:iCs/>
          <w:sz w:val="20"/>
          <w:szCs w:val="20"/>
        </w:rPr>
        <w:t>l’Embarqué</w:t>
      </w:r>
      <w:proofErr w:type="gramEnd"/>
    </w:p>
    <w:p w14:paraId="3AF9AAAD" w14:textId="77777777" w:rsidR="00684338" w:rsidRPr="00684338" w:rsidRDefault="00684338" w:rsidP="00041800">
      <w:pPr>
        <w:pStyle w:val="Paragraphedeliste"/>
        <w:numPr>
          <w:ilvl w:val="0"/>
          <w:numId w:val="23"/>
        </w:numPr>
        <w:spacing w:line="276" w:lineRule="auto"/>
        <w:jc w:val="both"/>
        <w:rPr>
          <w:rFonts w:ascii="Arial" w:hAnsi="Arial" w:cs="Arial"/>
          <w:iCs/>
          <w:sz w:val="20"/>
          <w:szCs w:val="20"/>
        </w:rPr>
      </w:pPr>
      <w:r w:rsidRPr="00684338">
        <w:rPr>
          <w:rFonts w:ascii="Arial" w:hAnsi="Arial" w:cs="Arial"/>
          <w:iCs/>
          <w:sz w:val="20"/>
          <w:szCs w:val="20"/>
        </w:rPr>
        <w:t>Informatique et Ingénierie Mathématique</w:t>
      </w:r>
    </w:p>
    <w:p w14:paraId="17157176" w14:textId="77777777" w:rsidR="00684338" w:rsidRPr="00684338" w:rsidRDefault="00684338" w:rsidP="00041800">
      <w:pPr>
        <w:pStyle w:val="Paragraphedeliste"/>
        <w:numPr>
          <w:ilvl w:val="0"/>
          <w:numId w:val="23"/>
        </w:numPr>
        <w:spacing w:line="276" w:lineRule="auto"/>
        <w:jc w:val="both"/>
        <w:rPr>
          <w:rFonts w:ascii="Arial" w:hAnsi="Arial" w:cs="Arial"/>
          <w:iCs/>
          <w:sz w:val="20"/>
          <w:szCs w:val="20"/>
        </w:rPr>
      </w:pPr>
      <w:r w:rsidRPr="00684338">
        <w:rPr>
          <w:rFonts w:ascii="Arial" w:hAnsi="Arial" w:cs="Arial"/>
          <w:iCs/>
          <w:sz w:val="20"/>
          <w:szCs w:val="20"/>
        </w:rPr>
        <w:t>Matériaux Mécanique et Energie</w:t>
      </w:r>
    </w:p>
    <w:p w14:paraId="2CAE81B4" w14:textId="77777777" w:rsidR="00684338" w:rsidRPr="00684338" w:rsidRDefault="00684338" w:rsidP="00041800">
      <w:pPr>
        <w:pStyle w:val="Paragraphedeliste"/>
        <w:numPr>
          <w:ilvl w:val="0"/>
          <w:numId w:val="23"/>
        </w:numPr>
        <w:spacing w:line="276" w:lineRule="auto"/>
        <w:jc w:val="both"/>
        <w:rPr>
          <w:rFonts w:ascii="Arial" w:hAnsi="Arial" w:cs="Arial"/>
          <w:iCs/>
          <w:sz w:val="20"/>
          <w:szCs w:val="20"/>
        </w:rPr>
      </w:pPr>
      <w:r w:rsidRPr="00684338">
        <w:rPr>
          <w:rFonts w:ascii="Arial" w:hAnsi="Arial" w:cs="Arial"/>
          <w:iCs/>
          <w:sz w:val="20"/>
          <w:szCs w:val="20"/>
        </w:rPr>
        <w:t>Photonique et systèmes optroniques</w:t>
      </w:r>
    </w:p>
    <w:p w14:paraId="3DB294F5" w14:textId="77777777" w:rsidR="00684338" w:rsidRPr="00684338" w:rsidRDefault="00684338" w:rsidP="00684338">
      <w:pPr>
        <w:pStyle w:val="Paragraphedeliste"/>
        <w:spacing w:line="276" w:lineRule="auto"/>
        <w:ind w:left="0"/>
        <w:jc w:val="both"/>
        <w:rPr>
          <w:rFonts w:ascii="Arial" w:hAnsi="Arial" w:cs="Arial"/>
          <w:iCs/>
          <w:sz w:val="20"/>
          <w:szCs w:val="20"/>
        </w:rPr>
      </w:pPr>
    </w:p>
    <w:p w14:paraId="0709482F" w14:textId="77777777" w:rsidR="00684338" w:rsidRPr="00684338" w:rsidRDefault="00684338" w:rsidP="00684338">
      <w:pPr>
        <w:pStyle w:val="Paragraphedeliste"/>
        <w:spacing w:line="276" w:lineRule="auto"/>
        <w:ind w:left="0"/>
        <w:jc w:val="both"/>
        <w:rPr>
          <w:rFonts w:ascii="Arial" w:hAnsi="Arial" w:cs="Arial"/>
          <w:iCs/>
          <w:sz w:val="20"/>
          <w:szCs w:val="20"/>
          <w:u w:val="single"/>
        </w:rPr>
      </w:pPr>
      <w:bookmarkStart w:id="62" w:name="_Toc172216835"/>
      <w:r w:rsidRPr="00684338">
        <w:rPr>
          <w:rFonts w:ascii="Arial" w:hAnsi="Arial" w:cs="Arial"/>
          <w:iCs/>
          <w:sz w:val="20"/>
          <w:szCs w:val="20"/>
          <w:u w:val="single"/>
        </w:rPr>
        <w:t>Henri Moissan</w:t>
      </w:r>
      <w:bookmarkEnd w:id="62"/>
    </w:p>
    <w:p w14:paraId="0A22EA00" w14:textId="77777777"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t>Achevé en juillet 2022, le bâtiment Henri Moissan regroupe les enseignements et les laboratoires de la faculté de Pharmacie, l’Institut de Chimie Moléculaire et des Matériaux d’Orsay, rattaché à la Faculté des Sciences, ainsi que des enseignements de master de la Faculté des Sciences. Le regroupement de ces entités sur un même site se veut une opportunité pour favoriser la transversalité. Le bâtiment comporte également un restaurant et une cafétaria gérés par le CROUS de Versailles.</w:t>
      </w:r>
    </w:p>
    <w:p w14:paraId="7877BAF1" w14:textId="77777777" w:rsidR="00684338" w:rsidRPr="00684338" w:rsidRDefault="00684338" w:rsidP="00684338">
      <w:pPr>
        <w:pStyle w:val="Paragraphedeliste"/>
        <w:spacing w:line="276" w:lineRule="auto"/>
        <w:ind w:left="0"/>
        <w:jc w:val="both"/>
        <w:rPr>
          <w:rFonts w:ascii="Arial" w:hAnsi="Arial" w:cs="Arial"/>
          <w:iCs/>
          <w:sz w:val="20"/>
          <w:szCs w:val="20"/>
        </w:rPr>
      </w:pPr>
    </w:p>
    <w:p w14:paraId="244BB18E" w14:textId="77777777" w:rsidR="00684338" w:rsidRPr="00684338" w:rsidRDefault="00684338" w:rsidP="00684338">
      <w:pPr>
        <w:pStyle w:val="Paragraphedeliste"/>
        <w:spacing w:line="276" w:lineRule="auto"/>
        <w:ind w:left="0"/>
        <w:jc w:val="both"/>
        <w:rPr>
          <w:rFonts w:ascii="Arial" w:hAnsi="Arial" w:cs="Arial"/>
          <w:iCs/>
          <w:sz w:val="20"/>
          <w:szCs w:val="20"/>
          <w:u w:val="single"/>
        </w:rPr>
      </w:pPr>
      <w:bookmarkStart w:id="63" w:name="_Toc172216836"/>
      <w:r w:rsidRPr="00684338">
        <w:rPr>
          <w:rFonts w:ascii="Arial" w:hAnsi="Arial" w:cs="Arial"/>
          <w:iCs/>
          <w:sz w:val="20"/>
          <w:szCs w:val="20"/>
          <w:u w:val="single"/>
        </w:rPr>
        <w:t>Autres bâtiments</w:t>
      </w:r>
      <w:bookmarkEnd w:id="63"/>
    </w:p>
    <w:p w14:paraId="06E74DC3" w14:textId="20F0C100" w:rsidR="00684338" w:rsidRPr="00684338" w:rsidRDefault="00684338" w:rsidP="00684338">
      <w:pPr>
        <w:pStyle w:val="Paragraphedeliste"/>
        <w:spacing w:line="276" w:lineRule="auto"/>
        <w:ind w:left="0"/>
        <w:jc w:val="both"/>
        <w:rPr>
          <w:rFonts w:ascii="Arial" w:hAnsi="Arial" w:cs="Arial"/>
          <w:iCs/>
          <w:sz w:val="20"/>
          <w:szCs w:val="20"/>
        </w:rPr>
      </w:pPr>
      <w:r w:rsidRPr="00684338">
        <w:rPr>
          <w:rFonts w:ascii="Arial" w:hAnsi="Arial" w:cs="Arial"/>
          <w:iCs/>
          <w:sz w:val="20"/>
          <w:szCs w:val="20"/>
        </w:rPr>
        <w:lastRenderedPageBreak/>
        <w:t>Le Plateau comporte de nombreux autres bâtiments compris dans le périmètre employeur, non détaillés ci-avant</w:t>
      </w:r>
      <w:r>
        <w:rPr>
          <w:rFonts w:ascii="Arial" w:hAnsi="Arial" w:cs="Arial"/>
          <w:iCs/>
          <w:sz w:val="20"/>
          <w:szCs w:val="20"/>
        </w:rPr>
        <w:t xml:space="preserve">. Il </w:t>
      </w:r>
      <w:r w:rsidRPr="00684338">
        <w:rPr>
          <w:rFonts w:ascii="Arial" w:hAnsi="Arial" w:cs="Arial"/>
          <w:iCs/>
          <w:sz w:val="20"/>
          <w:szCs w:val="20"/>
        </w:rPr>
        <w:t>s’agit notamment de l’IDEEV (Institut Diversité Ecologie et Evolution du Vivant), le COU</w:t>
      </w:r>
      <w:r>
        <w:rPr>
          <w:rFonts w:ascii="Arial" w:hAnsi="Arial" w:cs="Arial"/>
          <w:iCs/>
          <w:sz w:val="20"/>
          <w:szCs w:val="20"/>
        </w:rPr>
        <w:t>CV</w:t>
      </w:r>
      <w:r w:rsidRPr="00684338">
        <w:rPr>
          <w:rFonts w:ascii="Arial" w:hAnsi="Arial" w:cs="Arial"/>
          <w:iCs/>
          <w:sz w:val="20"/>
          <w:szCs w:val="20"/>
        </w:rPr>
        <w:t xml:space="preserve"> (Centre Omnisport Universitaire </w:t>
      </w:r>
      <w:r>
        <w:rPr>
          <w:rFonts w:ascii="Arial" w:hAnsi="Arial" w:cs="Arial"/>
          <w:iCs/>
          <w:sz w:val="20"/>
          <w:szCs w:val="20"/>
        </w:rPr>
        <w:t>Carole Vergne</w:t>
      </w:r>
      <w:r w:rsidRPr="00684338">
        <w:rPr>
          <w:rFonts w:ascii="Arial" w:hAnsi="Arial" w:cs="Arial"/>
          <w:iCs/>
          <w:sz w:val="20"/>
          <w:szCs w:val="20"/>
        </w:rPr>
        <w:t xml:space="preserve">), l’Institut Pascal, </w:t>
      </w:r>
      <w:proofErr w:type="spellStart"/>
      <w:r w:rsidRPr="00684338">
        <w:rPr>
          <w:rFonts w:ascii="Arial" w:hAnsi="Arial" w:cs="Arial"/>
          <w:iCs/>
          <w:sz w:val="20"/>
          <w:szCs w:val="20"/>
        </w:rPr>
        <w:t>Hbar</w:t>
      </w:r>
      <w:proofErr w:type="spellEnd"/>
      <w:r w:rsidRPr="00684338">
        <w:rPr>
          <w:rFonts w:ascii="Arial" w:hAnsi="Arial" w:cs="Arial"/>
          <w:iCs/>
          <w:sz w:val="20"/>
          <w:szCs w:val="20"/>
        </w:rPr>
        <w:t>, l’IPS2 (Institut des Sciences des Plantes Paris-Saclay), etc</w:t>
      </w:r>
      <w:r>
        <w:rPr>
          <w:rFonts w:ascii="Arial" w:hAnsi="Arial" w:cs="Arial"/>
          <w:iCs/>
          <w:sz w:val="20"/>
          <w:szCs w:val="20"/>
        </w:rPr>
        <w:t>…</w:t>
      </w:r>
    </w:p>
    <w:p w14:paraId="729ED5A7" w14:textId="77777777" w:rsidR="00684338" w:rsidRDefault="00684338" w:rsidP="00684338">
      <w:pPr>
        <w:pStyle w:val="CPS-2-titreniv2"/>
        <w:spacing w:before="0" w:line="240" w:lineRule="auto"/>
        <w:ind w:left="0" w:firstLine="0"/>
        <w:jc w:val="left"/>
        <w:rPr>
          <w:rFonts w:cs="Open Sans"/>
          <w:b w:val="0"/>
          <w:bCs w:val="0"/>
          <w:sz w:val="20"/>
          <w:szCs w:val="20"/>
        </w:rPr>
      </w:pPr>
    </w:p>
    <w:p w14:paraId="52776120" w14:textId="77777777" w:rsidR="00684338" w:rsidRPr="000F7A12" w:rsidRDefault="00684338" w:rsidP="00684338">
      <w:pPr>
        <w:pStyle w:val="CPS-2-titreniv2"/>
        <w:spacing w:before="0" w:line="240" w:lineRule="auto"/>
        <w:jc w:val="left"/>
        <w:rPr>
          <w:rFonts w:cs="Open Sans"/>
          <w:b w:val="0"/>
          <w:bCs w:val="0"/>
          <w:sz w:val="20"/>
          <w:szCs w:val="20"/>
        </w:rPr>
      </w:pPr>
    </w:p>
    <w:p w14:paraId="70B511BC" w14:textId="5F2B41DA" w:rsidR="00684338" w:rsidRDefault="00684338" w:rsidP="00684338">
      <w:pPr>
        <w:pStyle w:val="Titre3"/>
        <w:ind w:left="0" w:hanging="567"/>
        <w:jc w:val="both"/>
        <w:rPr>
          <w:rFonts w:ascii="Arial" w:hAnsi="Arial" w:cs="Arial"/>
          <w:i w:val="0"/>
          <w:iCs/>
          <w:sz w:val="20"/>
          <w:szCs w:val="20"/>
        </w:rPr>
      </w:pPr>
      <w:r>
        <w:rPr>
          <w:rFonts w:ascii="Arial" w:hAnsi="Arial" w:cs="Arial"/>
          <w:i w:val="0"/>
          <w:iCs/>
          <w:sz w:val="20"/>
          <w:szCs w:val="20"/>
        </w:rPr>
        <w:t>L</w:t>
      </w:r>
      <w:r>
        <w:rPr>
          <w:rFonts w:ascii="Arial" w:hAnsi="Arial" w:cs="Arial"/>
          <w:i w:val="0"/>
          <w:iCs/>
          <w:sz w:val="20"/>
          <w:szCs w:val="20"/>
        </w:rPr>
        <w:t xml:space="preserve">a </w:t>
      </w:r>
      <w:proofErr w:type="spellStart"/>
      <w:r>
        <w:rPr>
          <w:rFonts w:ascii="Arial" w:hAnsi="Arial" w:cs="Arial"/>
          <w:i w:val="0"/>
          <w:iCs/>
          <w:sz w:val="20"/>
          <w:szCs w:val="20"/>
        </w:rPr>
        <w:t>faculte</w:t>
      </w:r>
      <w:proofErr w:type="spellEnd"/>
      <w:r>
        <w:rPr>
          <w:rFonts w:ascii="Arial" w:hAnsi="Arial" w:cs="Arial"/>
          <w:i w:val="0"/>
          <w:iCs/>
          <w:sz w:val="20"/>
          <w:szCs w:val="20"/>
        </w:rPr>
        <w:t xml:space="preserve"> Jean Monnet</w:t>
      </w:r>
    </w:p>
    <w:p w14:paraId="2B5ED0DF" w14:textId="77777777" w:rsidR="0052534D" w:rsidRP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 xml:space="preserve">La Faculté Jean Monnet (UFR de Droit Economie et Management), située principalement sur le campus de Sceaux, compte 6 000 étudiants. Les formations dispensées concernent le droit, l’économie, la gestion, tant au niveau licence que master. Une école doctorale de droit, économie et management est également implantée sur le site ainsi que 6 centres de recherches, </w:t>
      </w:r>
    </w:p>
    <w:p w14:paraId="2F2B3094" w14:textId="77777777" w:rsid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Les formations dispensées sont les suivantes :</w:t>
      </w:r>
    </w:p>
    <w:p w14:paraId="1418B7C3" w14:textId="720B1B82" w:rsidR="0052534D" w:rsidRPr="0052534D" w:rsidRDefault="0052534D" w:rsidP="00041800">
      <w:pPr>
        <w:pStyle w:val="Paragraphedeliste"/>
        <w:numPr>
          <w:ilvl w:val="0"/>
          <w:numId w:val="24"/>
        </w:numPr>
        <w:spacing w:line="276" w:lineRule="auto"/>
        <w:jc w:val="both"/>
        <w:rPr>
          <w:rFonts w:ascii="Arial" w:hAnsi="Arial" w:cs="Arial"/>
          <w:iCs/>
          <w:sz w:val="20"/>
          <w:szCs w:val="20"/>
        </w:rPr>
      </w:pPr>
      <w:r w:rsidRPr="0052534D">
        <w:rPr>
          <w:rFonts w:ascii="Arial" w:hAnsi="Arial" w:cs="Arial"/>
          <w:iCs/>
          <w:sz w:val="20"/>
          <w:szCs w:val="20"/>
        </w:rPr>
        <w:t>Licences de Droit, économie et gestion</w:t>
      </w:r>
    </w:p>
    <w:p w14:paraId="134E6778" w14:textId="65F83EB4" w:rsidR="0052534D" w:rsidRPr="0052534D" w:rsidRDefault="0052534D" w:rsidP="00041800">
      <w:pPr>
        <w:pStyle w:val="Paragraphedeliste"/>
        <w:numPr>
          <w:ilvl w:val="1"/>
          <w:numId w:val="24"/>
        </w:numPr>
        <w:spacing w:line="276" w:lineRule="auto"/>
        <w:jc w:val="both"/>
        <w:rPr>
          <w:rFonts w:ascii="Arial" w:hAnsi="Arial" w:cs="Arial"/>
          <w:iCs/>
          <w:sz w:val="20"/>
          <w:szCs w:val="20"/>
        </w:rPr>
      </w:pPr>
      <w:r w:rsidRPr="0052534D">
        <w:rPr>
          <w:rFonts w:ascii="Arial" w:hAnsi="Arial" w:cs="Arial"/>
          <w:iCs/>
          <w:sz w:val="20"/>
          <w:szCs w:val="20"/>
        </w:rPr>
        <w:t>Droit science et innovation</w:t>
      </w:r>
    </w:p>
    <w:p w14:paraId="41E41FD7" w14:textId="7A34B69A" w:rsidR="0052534D" w:rsidRPr="0052534D" w:rsidRDefault="0052534D" w:rsidP="00041800">
      <w:pPr>
        <w:pStyle w:val="Paragraphedeliste"/>
        <w:numPr>
          <w:ilvl w:val="1"/>
          <w:numId w:val="24"/>
        </w:numPr>
        <w:spacing w:line="276" w:lineRule="auto"/>
        <w:jc w:val="both"/>
        <w:rPr>
          <w:rFonts w:ascii="Arial" w:hAnsi="Arial" w:cs="Arial"/>
          <w:iCs/>
          <w:sz w:val="20"/>
          <w:szCs w:val="20"/>
        </w:rPr>
      </w:pPr>
      <w:r w:rsidRPr="0052534D">
        <w:rPr>
          <w:rFonts w:ascii="Arial" w:hAnsi="Arial" w:cs="Arial"/>
          <w:iCs/>
          <w:sz w:val="20"/>
          <w:szCs w:val="20"/>
        </w:rPr>
        <w:t>Economie et mathématiques</w:t>
      </w:r>
    </w:p>
    <w:p w14:paraId="67A64C40" w14:textId="78823D96" w:rsidR="0052534D" w:rsidRPr="0052534D" w:rsidRDefault="0052534D" w:rsidP="00041800">
      <w:pPr>
        <w:pStyle w:val="Paragraphedeliste"/>
        <w:numPr>
          <w:ilvl w:val="0"/>
          <w:numId w:val="24"/>
        </w:numPr>
        <w:spacing w:line="276" w:lineRule="auto"/>
        <w:jc w:val="both"/>
        <w:rPr>
          <w:rFonts w:ascii="Arial" w:hAnsi="Arial" w:cs="Arial"/>
          <w:iCs/>
          <w:sz w:val="20"/>
          <w:szCs w:val="20"/>
        </w:rPr>
      </w:pPr>
      <w:r w:rsidRPr="0052534D">
        <w:rPr>
          <w:rFonts w:ascii="Arial" w:hAnsi="Arial" w:cs="Arial"/>
          <w:iCs/>
          <w:sz w:val="20"/>
          <w:szCs w:val="20"/>
        </w:rPr>
        <w:t>Masters de droit et masters économie et gestion</w:t>
      </w:r>
    </w:p>
    <w:p w14:paraId="6EC75B65" w14:textId="0083773E" w:rsidR="00684338" w:rsidRDefault="0052534D" w:rsidP="00041800">
      <w:pPr>
        <w:pStyle w:val="Paragraphedeliste"/>
        <w:numPr>
          <w:ilvl w:val="0"/>
          <w:numId w:val="24"/>
        </w:numPr>
        <w:spacing w:line="276" w:lineRule="auto"/>
        <w:jc w:val="both"/>
        <w:rPr>
          <w:rFonts w:ascii="Arial" w:hAnsi="Arial" w:cs="Arial"/>
          <w:iCs/>
          <w:sz w:val="20"/>
          <w:szCs w:val="20"/>
        </w:rPr>
      </w:pPr>
      <w:r w:rsidRPr="0052534D">
        <w:rPr>
          <w:rFonts w:ascii="Arial" w:hAnsi="Arial" w:cs="Arial"/>
          <w:iCs/>
          <w:sz w:val="20"/>
          <w:szCs w:val="20"/>
        </w:rPr>
        <w:t>Ecole doctorale droit, économie, management</w:t>
      </w:r>
    </w:p>
    <w:p w14:paraId="6494A244" w14:textId="3521E4B1" w:rsidR="0052534D" w:rsidRDefault="0052534D" w:rsidP="00B23D3D">
      <w:pPr>
        <w:pStyle w:val="Paragraphedeliste"/>
        <w:spacing w:line="276" w:lineRule="auto"/>
        <w:ind w:left="0"/>
        <w:jc w:val="both"/>
        <w:rPr>
          <w:rFonts w:ascii="Arial" w:hAnsi="Arial" w:cs="Arial"/>
          <w:iCs/>
          <w:sz w:val="20"/>
          <w:szCs w:val="20"/>
        </w:rPr>
      </w:pPr>
    </w:p>
    <w:p w14:paraId="2A6D70CB" w14:textId="4BCC196E" w:rsidR="0052534D" w:rsidRDefault="0052534D" w:rsidP="0052534D">
      <w:pPr>
        <w:pStyle w:val="Titre3"/>
        <w:ind w:left="0" w:hanging="567"/>
        <w:jc w:val="both"/>
        <w:rPr>
          <w:rFonts w:ascii="Arial" w:hAnsi="Arial" w:cs="Arial"/>
          <w:i w:val="0"/>
          <w:iCs/>
          <w:sz w:val="20"/>
          <w:szCs w:val="20"/>
        </w:rPr>
      </w:pPr>
      <w:r>
        <w:rPr>
          <w:rFonts w:ascii="Arial" w:hAnsi="Arial" w:cs="Arial"/>
          <w:i w:val="0"/>
          <w:iCs/>
          <w:sz w:val="20"/>
          <w:szCs w:val="20"/>
        </w:rPr>
        <w:t>L</w:t>
      </w:r>
      <w:r>
        <w:rPr>
          <w:rFonts w:ascii="Arial" w:hAnsi="Arial" w:cs="Arial"/>
          <w:i w:val="0"/>
          <w:iCs/>
          <w:sz w:val="20"/>
          <w:szCs w:val="20"/>
        </w:rPr>
        <w:t>’Institut pour l’Entreprenariat et l’Innovation</w:t>
      </w:r>
    </w:p>
    <w:p w14:paraId="1C5BF6DE" w14:textId="77777777" w:rsidR="0052534D" w:rsidRP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L’Institut pour l’Entrepreneuriat et l’Innovation (IEI) de la Faculté Jean Monnet est installé au sein du bâtiment C de l’ancien site de l’École Normale Supérieure à Fontenay-aux-Roses (92), occupé par l’IUT de Sceaux et la Faculté Jean Monnet depuis 2009.  D’une surface de 4 200 m², ce bâtiment en longueur s’organise sur quatre étages, un rez-de-chaussée, un rez-de-jardin et un sous-sol.</w:t>
      </w:r>
    </w:p>
    <w:p w14:paraId="0F1A5EAB" w14:textId="77777777" w:rsidR="0052534D" w:rsidRP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 xml:space="preserve">L’IEI dispense des formations centrées sur l’entrepreneuriat, l’innovation, le digital tant en formation initiale que continue. </w:t>
      </w:r>
    </w:p>
    <w:p w14:paraId="704F39E8" w14:textId="01AE8C8F" w:rsid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Des travaux de réhabilitation partielle ont été entrepris entre 2019 et 2021 permettant la rénovation dans un premier temps d’une partie des locaux pour améliorer les conditions de travail des étudiants et personnels, la mise aux normes d’accessibilité et la mise en sécurité incendie. Une deuxième phase a permis le remplacement des fenêtres de l’ensemble du bâtiment, le désamiantage des zones affectées par les travaux et l’adaptation de certaines pièces pour l’activité du SUAPS.</w:t>
      </w:r>
    </w:p>
    <w:p w14:paraId="1023BFCB" w14:textId="468182BF" w:rsidR="0052534D" w:rsidRDefault="0052534D" w:rsidP="00B23D3D">
      <w:pPr>
        <w:pStyle w:val="Paragraphedeliste"/>
        <w:spacing w:line="276" w:lineRule="auto"/>
        <w:ind w:left="0"/>
        <w:jc w:val="both"/>
        <w:rPr>
          <w:rFonts w:ascii="Arial" w:hAnsi="Arial" w:cs="Arial"/>
          <w:iCs/>
          <w:sz w:val="20"/>
          <w:szCs w:val="20"/>
        </w:rPr>
      </w:pPr>
    </w:p>
    <w:p w14:paraId="74C4F3B0" w14:textId="773405D1" w:rsidR="0052534D" w:rsidRDefault="0052534D" w:rsidP="0052534D">
      <w:pPr>
        <w:pStyle w:val="Titre3"/>
        <w:ind w:left="0" w:hanging="567"/>
        <w:jc w:val="both"/>
        <w:rPr>
          <w:rFonts w:ascii="Arial" w:hAnsi="Arial" w:cs="Arial"/>
          <w:i w:val="0"/>
          <w:iCs/>
          <w:sz w:val="20"/>
          <w:szCs w:val="20"/>
        </w:rPr>
      </w:pPr>
      <w:r>
        <w:rPr>
          <w:rFonts w:ascii="Arial" w:hAnsi="Arial" w:cs="Arial"/>
          <w:i w:val="0"/>
          <w:iCs/>
          <w:sz w:val="20"/>
          <w:szCs w:val="20"/>
        </w:rPr>
        <w:t>L</w:t>
      </w:r>
      <w:r>
        <w:rPr>
          <w:rFonts w:ascii="Arial" w:hAnsi="Arial" w:cs="Arial"/>
          <w:i w:val="0"/>
          <w:iCs/>
          <w:sz w:val="20"/>
          <w:szCs w:val="20"/>
        </w:rPr>
        <w:t>a faculté de Médecine</w:t>
      </w:r>
    </w:p>
    <w:p w14:paraId="01961C0D" w14:textId="1A18D0D1" w:rsid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La faculté de médecine est composée de 3 bâtiments :</w:t>
      </w:r>
    </w:p>
    <w:p w14:paraId="4CA31BD1" w14:textId="5F5FCBCA" w:rsidR="0052534D" w:rsidRDefault="0052534D" w:rsidP="00041800">
      <w:pPr>
        <w:pStyle w:val="Paragraphedeliste"/>
        <w:numPr>
          <w:ilvl w:val="0"/>
          <w:numId w:val="27"/>
        </w:numPr>
        <w:spacing w:line="276" w:lineRule="auto"/>
        <w:jc w:val="both"/>
        <w:rPr>
          <w:rFonts w:ascii="Arial" w:hAnsi="Arial" w:cs="Arial"/>
          <w:iCs/>
          <w:sz w:val="20"/>
          <w:szCs w:val="20"/>
        </w:rPr>
      </w:pPr>
      <w:r w:rsidRPr="0052534D">
        <w:rPr>
          <w:rFonts w:ascii="Arial" w:hAnsi="Arial" w:cs="Arial"/>
          <w:iCs/>
          <w:sz w:val="20"/>
          <w:szCs w:val="20"/>
        </w:rPr>
        <w:t>Le bâtiment principal à proximité direct de l’hôpital</w:t>
      </w:r>
      <w:r>
        <w:rPr>
          <w:rFonts w:ascii="Arial" w:hAnsi="Arial" w:cs="Arial"/>
          <w:iCs/>
          <w:sz w:val="20"/>
          <w:szCs w:val="20"/>
        </w:rPr>
        <w:t xml:space="preserve"> du Kremlin </w:t>
      </w:r>
      <w:proofErr w:type="spellStart"/>
      <w:r>
        <w:rPr>
          <w:rFonts w:ascii="Arial" w:hAnsi="Arial" w:cs="Arial"/>
          <w:iCs/>
          <w:sz w:val="20"/>
          <w:szCs w:val="20"/>
        </w:rPr>
        <w:t>Bicètre</w:t>
      </w:r>
      <w:proofErr w:type="spellEnd"/>
      <w:r w:rsidRPr="0052534D">
        <w:rPr>
          <w:rFonts w:ascii="Arial" w:hAnsi="Arial" w:cs="Arial"/>
          <w:iCs/>
          <w:sz w:val="20"/>
          <w:szCs w:val="20"/>
        </w:rPr>
        <w:t xml:space="preserve">. D’une surface de 12 100m² SDP, il héberge des locaux d’enseignement (dont 3 amphithéâtres et 14 salles banalisées de 25 à 100 places), une plateforme de simulation, une bibliothèque universitaire, des bureaux administratifs, des locaux d’activité étudiante et des locaux supports logistiques. Le bâtiment héberge également un restaurant universitaire géré par le CROUS de Créteil. Le bâtiment accueille les étudiants en PASS (Parcours d’Accès Spécifique Santé), puis en Médecine de la deuxième année à l’internat, ainsi que des formations paramédicales, un master d’éthique et l’école de santé publique. Des formations continues de médecine sont également dispensées. Le bâtiment « historique » de la faculté de médecine du Kremlin-Bicêtre a fait l’objet d’une programmation en vue de sa restructuration partielle en 2022. L’opération comprend notamment la mise à niveau technique (CVC et courant fort), la rénovation de l’étanchéité des toitures terrasses, la mise en accessibilité et la réhabilitation de 2000m² de locaux vidés suite à la construction du bâtiment d’extension. Compte tenu des </w:t>
      </w:r>
      <w:r w:rsidRPr="0052534D">
        <w:rPr>
          <w:rFonts w:ascii="Arial" w:hAnsi="Arial" w:cs="Arial"/>
          <w:iCs/>
          <w:sz w:val="20"/>
          <w:szCs w:val="20"/>
        </w:rPr>
        <w:lastRenderedPageBreak/>
        <w:t xml:space="preserve">financements disponibles, cette opération n’est que partielle. En particulier, ni les 10 000m² de locaux restants ni les façades du bâtiment ne seront touchées. </w:t>
      </w:r>
    </w:p>
    <w:p w14:paraId="62264466" w14:textId="77777777" w:rsidR="0052534D" w:rsidRDefault="0052534D" w:rsidP="00041800">
      <w:pPr>
        <w:pStyle w:val="Paragraphedeliste"/>
        <w:numPr>
          <w:ilvl w:val="0"/>
          <w:numId w:val="27"/>
        </w:numPr>
        <w:spacing w:line="276" w:lineRule="auto"/>
        <w:jc w:val="both"/>
        <w:rPr>
          <w:rFonts w:ascii="Arial" w:hAnsi="Arial" w:cs="Arial"/>
          <w:iCs/>
          <w:sz w:val="20"/>
          <w:szCs w:val="20"/>
        </w:rPr>
      </w:pPr>
      <w:r w:rsidRPr="0052534D">
        <w:rPr>
          <w:rFonts w:ascii="Arial" w:hAnsi="Arial" w:cs="Arial"/>
          <w:iCs/>
          <w:sz w:val="20"/>
          <w:szCs w:val="20"/>
        </w:rPr>
        <w:t xml:space="preserve">Le bâtiment recherche de 7 000m², à proximité immédiate du bâtiment principal et livré en 2022. Il héberge plusieurs laboratoires de médecine, une animalerie, un espace dédié aux colloques et conférences. Il comporte une grande salle de 200 places modulable en deux salles de 100 places qui sont utilisées, en l’absences de colloques, pour des enseignements de la Faculté de Médecine. Le bâtiment comporte également un auditorium de 300 places et des services administratifs. </w:t>
      </w:r>
    </w:p>
    <w:p w14:paraId="3A00E1A4" w14:textId="2526F233" w:rsidR="0052534D" w:rsidRPr="0052534D" w:rsidRDefault="0052534D" w:rsidP="00041800">
      <w:pPr>
        <w:pStyle w:val="Paragraphedeliste"/>
        <w:numPr>
          <w:ilvl w:val="0"/>
          <w:numId w:val="27"/>
        </w:numPr>
        <w:spacing w:line="276" w:lineRule="auto"/>
        <w:jc w:val="both"/>
        <w:rPr>
          <w:rFonts w:ascii="Arial" w:hAnsi="Arial" w:cs="Arial"/>
          <w:iCs/>
          <w:sz w:val="20"/>
          <w:szCs w:val="20"/>
        </w:rPr>
      </w:pPr>
      <w:r w:rsidRPr="0052534D">
        <w:rPr>
          <w:rFonts w:ascii="Arial" w:hAnsi="Arial" w:cs="Arial"/>
          <w:iCs/>
          <w:sz w:val="20"/>
          <w:szCs w:val="20"/>
        </w:rPr>
        <w:t>L’Institut André Lwoff, situé à Villejuif, est un bâtiment de 850 m² implanté au sein de l’hôpital universitaire Paul Brousse. Il fédère trois unités de recherche de biologie expérimentale de l’Université et de l’Inserm. Des travaux de rénovation ont été achevés en 2019. Cette opération visait principalement à mettre aux normes d’accessibilité les locaux, ainsi qu’aux ormes sécurité incendie.</w:t>
      </w:r>
    </w:p>
    <w:p w14:paraId="4EDD149D" w14:textId="77777777" w:rsidR="0052534D" w:rsidRPr="0052534D" w:rsidRDefault="0052534D" w:rsidP="0052534D">
      <w:pPr>
        <w:pStyle w:val="Paragraphedeliste"/>
        <w:spacing w:line="276" w:lineRule="auto"/>
        <w:ind w:left="0"/>
        <w:jc w:val="both"/>
        <w:rPr>
          <w:rFonts w:ascii="Arial" w:hAnsi="Arial" w:cs="Arial"/>
          <w:iCs/>
          <w:sz w:val="20"/>
          <w:szCs w:val="20"/>
        </w:rPr>
      </w:pPr>
    </w:p>
    <w:p w14:paraId="126CA22E" w14:textId="77777777" w:rsidR="0052534D" w:rsidRP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En 2020, les effectifs représentent 5 900 étudiants.</w:t>
      </w:r>
    </w:p>
    <w:p w14:paraId="7181B579" w14:textId="6C967BB3" w:rsid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La Faculté de médecine du Kremlin-Bicêtre et l’Institut André Lwoff sont localisés dans la vallée scientifique de la Bièvre, pôle important d’innovation dans la santé en Ile-de-France.</w:t>
      </w:r>
    </w:p>
    <w:p w14:paraId="357A71D1" w14:textId="25FDE2E6" w:rsidR="0052534D" w:rsidRDefault="0052534D" w:rsidP="0052534D">
      <w:pPr>
        <w:pStyle w:val="Titre3"/>
        <w:ind w:left="0" w:hanging="567"/>
        <w:jc w:val="both"/>
        <w:rPr>
          <w:rFonts w:ascii="Arial" w:hAnsi="Arial" w:cs="Arial"/>
          <w:i w:val="0"/>
          <w:iCs/>
          <w:sz w:val="20"/>
          <w:szCs w:val="20"/>
        </w:rPr>
      </w:pPr>
      <w:r>
        <w:rPr>
          <w:rFonts w:ascii="Arial" w:hAnsi="Arial" w:cs="Arial"/>
          <w:i w:val="0"/>
          <w:iCs/>
          <w:sz w:val="20"/>
          <w:szCs w:val="20"/>
        </w:rPr>
        <w:t>L’I</w:t>
      </w:r>
      <w:r>
        <w:rPr>
          <w:rFonts w:ascii="Arial" w:hAnsi="Arial" w:cs="Arial"/>
          <w:i w:val="0"/>
          <w:iCs/>
          <w:sz w:val="20"/>
          <w:szCs w:val="20"/>
        </w:rPr>
        <w:t>UT de Sceaux</w:t>
      </w:r>
    </w:p>
    <w:p w14:paraId="750CD4B4" w14:textId="77777777" w:rsidR="0052534D" w:rsidRPr="0052534D" w:rsidRDefault="0052534D" w:rsidP="0052534D">
      <w:pPr>
        <w:pStyle w:val="Paragraphedeliste"/>
        <w:spacing w:line="276" w:lineRule="auto"/>
        <w:ind w:left="0"/>
        <w:jc w:val="both"/>
        <w:rPr>
          <w:rFonts w:ascii="Arial" w:hAnsi="Arial" w:cs="Arial"/>
          <w:iCs/>
          <w:sz w:val="20"/>
          <w:szCs w:val="20"/>
        </w:rPr>
      </w:pPr>
      <w:r w:rsidRPr="0052534D">
        <w:rPr>
          <w:rFonts w:ascii="Arial" w:hAnsi="Arial" w:cs="Arial"/>
          <w:iCs/>
          <w:sz w:val="20"/>
          <w:szCs w:val="20"/>
        </w:rPr>
        <w:t>Implanté à proximité du Parc de Sceaux, l’IUT de Sceaux compte 1600 étudiants. Les formations dispensées concernent la gestion des entreprises et des administrations ainsi que les techniques de commercialisation.</w:t>
      </w:r>
    </w:p>
    <w:p w14:paraId="7C828021" w14:textId="6A2AD27D" w:rsidR="0052534D" w:rsidRDefault="0052534D" w:rsidP="00B23D3D">
      <w:pPr>
        <w:pStyle w:val="Paragraphedeliste"/>
        <w:spacing w:line="276" w:lineRule="auto"/>
        <w:ind w:left="0"/>
        <w:jc w:val="both"/>
        <w:rPr>
          <w:rFonts w:ascii="Arial" w:hAnsi="Arial" w:cs="Arial"/>
          <w:iCs/>
          <w:sz w:val="20"/>
          <w:szCs w:val="20"/>
        </w:rPr>
      </w:pPr>
    </w:p>
    <w:p w14:paraId="4EB210C3" w14:textId="121C12C4" w:rsidR="0052534D" w:rsidRDefault="0052534D" w:rsidP="0052534D">
      <w:pPr>
        <w:pStyle w:val="Titre3"/>
        <w:ind w:left="0" w:hanging="567"/>
        <w:jc w:val="both"/>
        <w:rPr>
          <w:rFonts w:ascii="Arial" w:hAnsi="Arial" w:cs="Arial"/>
          <w:i w:val="0"/>
          <w:iCs/>
          <w:sz w:val="20"/>
          <w:szCs w:val="20"/>
        </w:rPr>
      </w:pPr>
      <w:r>
        <w:rPr>
          <w:rFonts w:ascii="Arial" w:hAnsi="Arial" w:cs="Arial"/>
          <w:i w:val="0"/>
          <w:iCs/>
          <w:sz w:val="20"/>
          <w:szCs w:val="20"/>
        </w:rPr>
        <w:t xml:space="preserve">L’IUT de </w:t>
      </w:r>
      <w:r>
        <w:rPr>
          <w:rFonts w:ascii="Arial" w:hAnsi="Arial" w:cs="Arial"/>
          <w:i w:val="0"/>
          <w:iCs/>
          <w:sz w:val="20"/>
          <w:szCs w:val="20"/>
        </w:rPr>
        <w:t>Cachan</w:t>
      </w:r>
    </w:p>
    <w:p w14:paraId="43C48409" w14:textId="77777777" w:rsidR="0052534D" w:rsidRPr="0052534D" w:rsidRDefault="0052534D" w:rsidP="0052534D">
      <w:pPr>
        <w:rPr>
          <w:rFonts w:ascii="Arial" w:hAnsi="Arial" w:cs="Arial"/>
          <w:iCs/>
          <w:sz w:val="20"/>
          <w:szCs w:val="20"/>
        </w:rPr>
      </w:pPr>
      <w:r w:rsidRPr="0052534D">
        <w:rPr>
          <w:rFonts w:ascii="Arial" w:hAnsi="Arial" w:cs="Arial"/>
          <w:iCs/>
          <w:sz w:val="20"/>
          <w:szCs w:val="20"/>
        </w:rPr>
        <w:t xml:space="preserve">L’IUT de Cachan, implanté à Cachan, compte 950 étudiants et dispense principalement une formation BUT mention Génie Electrique et Informatique industrielle, décomposé en trois parcours : </w:t>
      </w:r>
    </w:p>
    <w:p w14:paraId="650A32B8" w14:textId="77777777" w:rsidR="0052534D" w:rsidRPr="0052534D" w:rsidRDefault="0052534D" w:rsidP="00041800">
      <w:pPr>
        <w:pStyle w:val="Paragraphedeliste"/>
        <w:numPr>
          <w:ilvl w:val="0"/>
          <w:numId w:val="26"/>
        </w:numPr>
        <w:contextualSpacing w:val="0"/>
        <w:rPr>
          <w:rFonts w:ascii="Arial" w:hAnsi="Arial" w:cs="Arial"/>
          <w:iCs/>
          <w:sz w:val="20"/>
          <w:szCs w:val="20"/>
        </w:rPr>
      </w:pPr>
      <w:r w:rsidRPr="0052534D">
        <w:rPr>
          <w:rFonts w:ascii="Arial" w:hAnsi="Arial" w:cs="Arial"/>
          <w:iCs/>
          <w:sz w:val="20"/>
          <w:szCs w:val="20"/>
        </w:rPr>
        <w:t>Automatisme et Informatique Industrielle</w:t>
      </w:r>
    </w:p>
    <w:p w14:paraId="5348BACC" w14:textId="77777777" w:rsidR="0052534D" w:rsidRPr="0052534D" w:rsidRDefault="0052534D" w:rsidP="00041800">
      <w:pPr>
        <w:pStyle w:val="Paragraphedeliste"/>
        <w:numPr>
          <w:ilvl w:val="0"/>
          <w:numId w:val="25"/>
        </w:numPr>
        <w:contextualSpacing w:val="0"/>
        <w:rPr>
          <w:rFonts w:ascii="Arial" w:hAnsi="Arial" w:cs="Arial"/>
          <w:iCs/>
          <w:sz w:val="20"/>
          <w:szCs w:val="20"/>
        </w:rPr>
      </w:pPr>
      <w:r w:rsidRPr="0052534D">
        <w:rPr>
          <w:rFonts w:ascii="Arial" w:hAnsi="Arial" w:cs="Arial"/>
          <w:iCs/>
          <w:sz w:val="20"/>
          <w:szCs w:val="20"/>
        </w:rPr>
        <w:t>Electricité et Maîtrise de l’Energie</w:t>
      </w:r>
    </w:p>
    <w:p w14:paraId="28330AEA" w14:textId="77777777" w:rsidR="0052534D" w:rsidRPr="0052534D" w:rsidRDefault="0052534D" w:rsidP="00041800">
      <w:pPr>
        <w:pStyle w:val="Paragraphedeliste"/>
        <w:numPr>
          <w:ilvl w:val="0"/>
          <w:numId w:val="25"/>
        </w:numPr>
        <w:contextualSpacing w:val="0"/>
        <w:rPr>
          <w:rFonts w:ascii="Arial" w:hAnsi="Arial" w:cs="Arial"/>
          <w:iCs/>
          <w:sz w:val="20"/>
          <w:szCs w:val="20"/>
        </w:rPr>
      </w:pPr>
      <w:r w:rsidRPr="0052534D">
        <w:rPr>
          <w:rFonts w:ascii="Arial" w:hAnsi="Arial" w:cs="Arial"/>
          <w:iCs/>
          <w:sz w:val="20"/>
          <w:szCs w:val="20"/>
        </w:rPr>
        <w:t>Electronique et systèmes Embarqués.</w:t>
      </w:r>
    </w:p>
    <w:p w14:paraId="07D9EEFD" w14:textId="77777777" w:rsidR="0052534D" w:rsidRPr="007F0B88" w:rsidRDefault="0052534D" w:rsidP="00B23D3D">
      <w:pPr>
        <w:pStyle w:val="Paragraphedeliste"/>
        <w:spacing w:line="276" w:lineRule="auto"/>
        <w:ind w:left="0"/>
        <w:jc w:val="both"/>
        <w:rPr>
          <w:rFonts w:ascii="Arial" w:hAnsi="Arial" w:cs="Arial"/>
          <w:iCs/>
          <w:sz w:val="20"/>
          <w:szCs w:val="20"/>
        </w:rPr>
      </w:pPr>
    </w:p>
    <w:sectPr w:rsidR="0052534D" w:rsidRPr="007F0B88" w:rsidSect="00674BE9">
      <w:headerReference w:type="even" r:id="rId26"/>
      <w:headerReference w:type="default" r:id="rId27"/>
      <w:headerReference w:type="first" r:id="rId28"/>
      <w:footnotePr>
        <w:numRestart w:val="eachSect"/>
      </w:footnotePr>
      <w:pgSz w:w="11907" w:h="16840" w:code="9"/>
      <w:pgMar w:top="1418" w:right="1275" w:bottom="1418" w:left="1701" w:header="567" w:footer="567" w:gutter="0"/>
      <w:cols w:space="70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4" w:author="Laure Auvray" w:date="2025-03-17T09:57:00Z" w:initials="LA">
    <w:p w14:paraId="6D5F27BA" w14:textId="17B77015" w:rsidR="00031327" w:rsidRDefault="00031327">
      <w:pPr>
        <w:pStyle w:val="Commentaire"/>
      </w:pPr>
      <w:r>
        <w:rPr>
          <w:rStyle w:val="Marquedecommentaire"/>
        </w:rPr>
        <w:annotationRef/>
      </w:r>
      <w:r>
        <w:t xml:space="preserve">A valider selon RV avec </w:t>
      </w:r>
      <w:proofErr w:type="spellStart"/>
      <w:r>
        <w:t>IJCLab</w:t>
      </w:r>
      <w:proofErr w:type="spellEnd"/>
      <w:r>
        <w:t xml:space="preserve"> (PERLE)</w:t>
      </w:r>
    </w:p>
  </w:comment>
  <w:comment w:id="55" w:author="Laure Auvray" w:date="2025-03-17T10:17:00Z" w:initials="LA">
    <w:p w14:paraId="7D11CCEB" w14:textId="6FCF7C20" w:rsidR="003B3FA3" w:rsidRDefault="003B3FA3">
      <w:pPr>
        <w:pStyle w:val="Commentaire"/>
      </w:pPr>
      <w:r>
        <w:rPr>
          <w:rStyle w:val="Marquedecommentaire"/>
        </w:rPr>
        <w:annotationRef/>
      </w:r>
      <w:r>
        <w:t>@David : OK ?</w:t>
      </w:r>
    </w:p>
  </w:comment>
  <w:comment w:id="56" w:author="Laure Auvray" w:date="2025-03-17T10:34:00Z" w:initials="LA">
    <w:p w14:paraId="454FC0F4" w14:textId="4421F31A" w:rsidR="00CA07DA" w:rsidRDefault="00CA07DA">
      <w:pPr>
        <w:pStyle w:val="Commentaire"/>
      </w:pPr>
      <w:r>
        <w:rPr>
          <w:rStyle w:val="Marquedecommentaire"/>
        </w:rPr>
        <w:annotationRef/>
      </w:r>
      <w:r>
        <w:t>A intégrer en annexe</w:t>
      </w:r>
    </w:p>
  </w:comment>
  <w:comment w:id="57" w:author="Laure Auvray" w:date="2025-03-17T10:37:00Z" w:initials="LA">
    <w:p w14:paraId="728E9555" w14:textId="056F330C" w:rsidR="00CA07DA" w:rsidRDefault="00CA07DA">
      <w:pPr>
        <w:pStyle w:val="Commentaire"/>
      </w:pPr>
      <w:r>
        <w:rPr>
          <w:rStyle w:val="Marquedecommentaire"/>
        </w:rPr>
        <w:annotationRef/>
      </w:r>
      <w:r>
        <w:t>A intégrer en annexe</w:t>
      </w:r>
    </w:p>
  </w:comment>
  <w:comment w:id="58" w:author="Laure Auvray" w:date="2025-03-17T10:38:00Z" w:initials="LA">
    <w:p w14:paraId="74235E71" w14:textId="136B88D5" w:rsidR="00CA07DA" w:rsidRDefault="00CA07DA">
      <w:pPr>
        <w:pStyle w:val="Commentaire"/>
      </w:pPr>
      <w:r>
        <w:rPr>
          <w:rStyle w:val="Marquedecommentaire"/>
        </w:rPr>
        <w:annotationRef/>
      </w:r>
      <w:r>
        <w:t>A intégrer en annexe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D5F27BA" w15:done="0"/>
  <w15:commentEx w15:paraId="7D11CCEB" w15:done="0"/>
  <w15:commentEx w15:paraId="454FC0F4" w15:done="0"/>
  <w15:commentEx w15:paraId="728E9555" w15:done="0"/>
  <w15:commentEx w15:paraId="74235E7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B8270A2" w16cex:dateUtc="2025-03-17T08:57:00Z"/>
  <w16cex:commentExtensible w16cex:durableId="2B827541" w16cex:dateUtc="2025-03-17T09:17:00Z"/>
  <w16cex:commentExtensible w16cex:durableId="2B827940" w16cex:dateUtc="2025-03-17T09:34:00Z"/>
  <w16cex:commentExtensible w16cex:durableId="2B8279FB" w16cex:dateUtc="2025-03-17T09:37:00Z"/>
  <w16cex:commentExtensible w16cex:durableId="2B827A14" w16cex:dateUtc="2025-03-17T09:3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D5F27BA" w16cid:durableId="2B8270A2"/>
  <w16cid:commentId w16cid:paraId="7D11CCEB" w16cid:durableId="2B827541"/>
  <w16cid:commentId w16cid:paraId="454FC0F4" w16cid:durableId="2B827940"/>
  <w16cid:commentId w16cid:paraId="728E9555" w16cid:durableId="2B8279FB"/>
  <w16cid:commentId w16cid:paraId="74235E71" w16cid:durableId="2B827A1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0CABD4" w14:textId="77777777" w:rsidR="00041800" w:rsidRDefault="00041800">
      <w:r>
        <w:separator/>
      </w:r>
    </w:p>
  </w:endnote>
  <w:endnote w:type="continuationSeparator" w:id="0">
    <w:p w14:paraId="18A359BD" w14:textId="77777777" w:rsidR="00041800" w:rsidRDefault="00041800">
      <w:r>
        <w:continuationSeparator/>
      </w:r>
    </w:p>
  </w:endnote>
  <w:endnote w:type="continuationNotice" w:id="1">
    <w:p w14:paraId="6B6DD5DF" w14:textId="77777777" w:rsidR="00041800" w:rsidRDefault="000418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w:charset w:val="00"/>
    <w:family w:val="swiss"/>
    <w:pitch w:val="variable"/>
    <w:sig w:usb0="80000287" w:usb1="00000000" w:usb2="00000000" w:usb3="00000000" w:csb0="0000000F" w:csb1="00000000"/>
  </w:font>
  <w:font w:name="Tahoma">
    <w:panose1 w:val="020B0604030504040204"/>
    <w:charset w:val="00"/>
    <w:family w:val="swiss"/>
    <w:pitch w:val="variable"/>
    <w:sig w:usb0="E1002EFF" w:usb1="C000605B" w:usb2="00000029" w:usb3="00000000" w:csb0="000101FF" w:csb1="00000000"/>
  </w:font>
  <w:font w:name="Palatino">
    <w:charset w:val="4D"/>
    <w:family w:val="auto"/>
    <w:pitch w:val="variable"/>
    <w:sig w:usb0="A00002FF" w:usb1="7800205A" w:usb2="14600000" w:usb3="00000000" w:csb0="00000193" w:csb1="00000000"/>
  </w:font>
  <w:font w:name="MS Mincho">
    <w:altName w:val="ＭＳ 明朝"/>
    <w:panose1 w:val="02020609040205080304"/>
    <w:charset w:val="80"/>
    <w:family w:val="modern"/>
    <w:pitch w:val="fixed"/>
    <w:sig w:usb0="E00002FF" w:usb1="6AC7FDFB" w:usb2="08000012" w:usb3="00000000" w:csb0="0002009F" w:csb1="00000000"/>
  </w:font>
  <w:font w:name="Open Sans">
    <w:panose1 w:val="020B0606030504020204"/>
    <w:charset w:val="00"/>
    <w:family w:val="swiss"/>
    <w:pitch w:val="variable"/>
    <w:sig w:usb0="E00002EF" w:usb1="4000205B" w:usb2="00000028" w:usb3="00000000" w:csb0="0000019F" w:csb1="00000000"/>
  </w:font>
  <w:font w:name="OpenSans">
    <w:altName w:val="Calibri"/>
    <w:charset w:val="00"/>
    <w:family w:val="swiss"/>
    <w:pitch w:val="default"/>
  </w:font>
  <w:font w:name="Roboto Light">
    <w:altName w:val="Roboto Light"/>
    <w:charset w:val="00"/>
    <w:family w:val="auto"/>
    <w:pitch w:val="variable"/>
    <w:sig w:usb0="E00002FF" w:usb1="5000205B" w:usb2="00000020"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i w:val="0"/>
        <w:sz w:val="20"/>
        <w:szCs w:val="20"/>
      </w:rPr>
      <w:id w:val="1058437216"/>
      <w:docPartObj>
        <w:docPartGallery w:val="Page Numbers (Bottom of Page)"/>
        <w:docPartUnique/>
      </w:docPartObj>
    </w:sdtPr>
    <w:sdtEndPr/>
    <w:sdtContent>
      <w:sdt>
        <w:sdtPr>
          <w:rPr>
            <w:i w:val="0"/>
            <w:sz w:val="20"/>
            <w:szCs w:val="20"/>
          </w:rPr>
          <w:id w:val="1728636285"/>
          <w:docPartObj>
            <w:docPartGallery w:val="Page Numbers (Top of Page)"/>
            <w:docPartUnique/>
          </w:docPartObj>
        </w:sdtPr>
        <w:sdtEndPr/>
        <w:sdtContent>
          <w:p w14:paraId="16331082" w14:textId="0366F5A5" w:rsidR="00FA1668" w:rsidRPr="00674BE9" w:rsidRDefault="00FA1668" w:rsidP="00CE0848">
            <w:pPr>
              <w:pStyle w:val="Pieddepage"/>
              <w:rPr>
                <w:sz w:val="20"/>
                <w:szCs w:val="20"/>
              </w:rPr>
            </w:pPr>
            <w:r>
              <w:rPr>
                <w:sz w:val="20"/>
                <w:szCs w:val="20"/>
              </w:rPr>
              <w:t xml:space="preserve"> </w:t>
            </w:r>
            <w:r>
              <w:rPr>
                <w:sz w:val="20"/>
                <w:szCs w:val="20"/>
              </w:rPr>
              <w:tab/>
            </w:r>
            <w:r w:rsidRPr="00F81AD2">
              <w:rPr>
                <w:rFonts w:ascii="Arial" w:hAnsi="Arial" w:cs="Arial"/>
                <w:i w:val="0"/>
                <w:iCs/>
                <w:sz w:val="20"/>
                <w:szCs w:val="20"/>
              </w:rPr>
              <w:t xml:space="preserve">Page </w:t>
            </w:r>
            <w:r w:rsidRPr="00F81AD2">
              <w:rPr>
                <w:rFonts w:ascii="Arial" w:hAnsi="Arial" w:cs="Arial"/>
                <w:b/>
                <w:bCs/>
                <w:i w:val="0"/>
                <w:iCs/>
                <w:sz w:val="20"/>
                <w:szCs w:val="20"/>
              </w:rPr>
              <w:fldChar w:fldCharType="begin"/>
            </w:r>
            <w:r w:rsidRPr="00F81AD2">
              <w:rPr>
                <w:rFonts w:ascii="Arial" w:hAnsi="Arial" w:cs="Arial"/>
                <w:b/>
                <w:bCs/>
                <w:i w:val="0"/>
                <w:iCs/>
                <w:sz w:val="20"/>
                <w:szCs w:val="20"/>
              </w:rPr>
              <w:instrText>PAGE</w:instrText>
            </w:r>
            <w:r w:rsidRPr="00F81AD2">
              <w:rPr>
                <w:rFonts w:ascii="Arial" w:hAnsi="Arial" w:cs="Arial"/>
                <w:b/>
                <w:bCs/>
                <w:i w:val="0"/>
                <w:iCs/>
                <w:sz w:val="20"/>
                <w:szCs w:val="20"/>
              </w:rPr>
              <w:fldChar w:fldCharType="separate"/>
            </w:r>
            <w:r w:rsidRPr="00F81AD2">
              <w:rPr>
                <w:rFonts w:ascii="Arial" w:hAnsi="Arial" w:cs="Arial"/>
                <w:b/>
                <w:bCs/>
                <w:i w:val="0"/>
                <w:iCs/>
                <w:noProof/>
                <w:sz w:val="20"/>
                <w:szCs w:val="20"/>
              </w:rPr>
              <w:t>25</w:t>
            </w:r>
            <w:r w:rsidRPr="00F81AD2">
              <w:rPr>
                <w:rFonts w:ascii="Arial" w:hAnsi="Arial" w:cs="Arial"/>
                <w:b/>
                <w:bCs/>
                <w:i w:val="0"/>
                <w:iCs/>
                <w:sz w:val="20"/>
                <w:szCs w:val="20"/>
              </w:rPr>
              <w:fldChar w:fldCharType="end"/>
            </w:r>
            <w:r w:rsidRPr="00F81AD2">
              <w:rPr>
                <w:rFonts w:ascii="Arial" w:hAnsi="Arial" w:cs="Arial"/>
                <w:i w:val="0"/>
                <w:iCs/>
                <w:sz w:val="20"/>
                <w:szCs w:val="20"/>
              </w:rPr>
              <w:t xml:space="preserve"> sur </w:t>
            </w:r>
            <w:r w:rsidRPr="00F81AD2">
              <w:rPr>
                <w:rFonts w:ascii="Arial" w:hAnsi="Arial" w:cs="Arial"/>
                <w:b/>
                <w:bCs/>
                <w:i w:val="0"/>
                <w:iCs/>
                <w:sz w:val="20"/>
                <w:szCs w:val="20"/>
              </w:rPr>
              <w:fldChar w:fldCharType="begin"/>
            </w:r>
            <w:r w:rsidRPr="00F81AD2">
              <w:rPr>
                <w:rFonts w:ascii="Arial" w:hAnsi="Arial" w:cs="Arial"/>
                <w:b/>
                <w:bCs/>
                <w:i w:val="0"/>
                <w:iCs/>
                <w:sz w:val="20"/>
                <w:szCs w:val="20"/>
              </w:rPr>
              <w:instrText>NUMPAGES</w:instrText>
            </w:r>
            <w:r w:rsidRPr="00F81AD2">
              <w:rPr>
                <w:rFonts w:ascii="Arial" w:hAnsi="Arial" w:cs="Arial"/>
                <w:b/>
                <w:bCs/>
                <w:i w:val="0"/>
                <w:iCs/>
                <w:sz w:val="20"/>
                <w:szCs w:val="20"/>
              </w:rPr>
              <w:fldChar w:fldCharType="separate"/>
            </w:r>
            <w:r w:rsidRPr="00F81AD2">
              <w:rPr>
                <w:rFonts w:ascii="Arial" w:hAnsi="Arial" w:cs="Arial"/>
                <w:b/>
                <w:bCs/>
                <w:i w:val="0"/>
                <w:iCs/>
                <w:noProof/>
                <w:sz w:val="20"/>
                <w:szCs w:val="20"/>
              </w:rPr>
              <w:t>25</w:t>
            </w:r>
            <w:r w:rsidRPr="00F81AD2">
              <w:rPr>
                <w:rFonts w:ascii="Arial" w:hAnsi="Arial" w:cs="Arial"/>
                <w:b/>
                <w:bCs/>
                <w:i w:val="0"/>
                <w:iCs/>
                <w:sz w:val="20"/>
                <w:szCs w:val="20"/>
              </w:rPr>
              <w:fldChar w:fldCharType="end"/>
            </w:r>
            <w:r w:rsidRPr="00F81AD2">
              <w:rPr>
                <w:rFonts w:ascii="Arial" w:hAnsi="Arial" w:cs="Arial"/>
                <w:b/>
                <w:bCs/>
                <w:i w:val="0"/>
                <w:iCs/>
                <w:sz w:val="20"/>
                <w:szCs w:val="20"/>
              </w:rPr>
              <w:tab/>
            </w:r>
            <w:r w:rsidR="00EA1E1B" w:rsidRPr="00F81AD2">
              <w:rPr>
                <w:rFonts w:ascii="Arial" w:hAnsi="Arial" w:cs="Arial"/>
                <w:i w:val="0"/>
                <w:iCs/>
                <w:sz w:val="20"/>
                <w:szCs w:val="20"/>
              </w:rPr>
              <w:t>CCTP AC</w:t>
            </w:r>
            <w:r w:rsidR="000702E4">
              <w:rPr>
                <w:rFonts w:ascii="Arial" w:hAnsi="Arial" w:cs="Arial"/>
                <w:i w:val="0"/>
                <w:iCs/>
                <w:sz w:val="20"/>
                <w:szCs w:val="20"/>
              </w:rPr>
              <w:t xml:space="preserve"> – Annexe 1</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EFD393" w14:textId="77777777" w:rsidR="00041800" w:rsidRDefault="00041800">
      <w:r>
        <w:separator/>
      </w:r>
    </w:p>
  </w:footnote>
  <w:footnote w:type="continuationSeparator" w:id="0">
    <w:p w14:paraId="08CA6455" w14:textId="77777777" w:rsidR="00041800" w:rsidRDefault="00041800">
      <w:r>
        <w:continuationSeparator/>
      </w:r>
    </w:p>
  </w:footnote>
  <w:footnote w:type="continuationNotice" w:id="1">
    <w:p w14:paraId="29BA3CF7" w14:textId="77777777" w:rsidR="00041800" w:rsidRDefault="000418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538D8" w14:textId="77777777" w:rsidR="00FA1668" w:rsidRDefault="00FA1668">
    <w:pPr>
      <w:framePr w:w="576" w:wrap="around" w:vAnchor="page" w:hAnchor="page" w:x="9915" w:y="710"/>
      <w:jc w:val="right"/>
    </w:pPr>
    <w:r>
      <w:fldChar w:fldCharType="begin"/>
    </w:r>
    <w:r>
      <w:instrText xml:space="preserve">PAGE  </w:instrText>
    </w:r>
    <w:r>
      <w:fldChar w:fldCharType="separate"/>
    </w:r>
    <w:r>
      <w:rPr>
        <w:noProof/>
      </w:rPr>
      <w:t>h</w:t>
    </w:r>
    <w:r>
      <w:rPr>
        <w:noProof/>
      </w:rPr>
      <w:fldChar w:fldCharType="end"/>
    </w:r>
  </w:p>
  <w:p w14:paraId="487264ED" w14:textId="77777777" w:rsidR="00FA1668" w:rsidRDefault="00FA166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FB69A" w14:textId="77777777" w:rsidR="00FA1668" w:rsidRDefault="00FA1668">
    <w:pPr>
      <w:framePr w:w="576" w:wrap="around" w:vAnchor="page" w:hAnchor="page" w:x="9915" w:y="710"/>
      <w:jc w:val="right"/>
    </w:pPr>
    <w:r>
      <w:fldChar w:fldCharType="begin"/>
    </w:r>
    <w:r>
      <w:instrText xml:space="preserve">PAGE  </w:instrText>
    </w:r>
    <w:r>
      <w:fldChar w:fldCharType="separate"/>
    </w:r>
    <w:r>
      <w:rPr>
        <w:noProof/>
      </w:rPr>
      <w:t>h</w:t>
    </w:r>
    <w:r>
      <w:rPr>
        <w:noProof/>
      </w:rPr>
      <w:fldChar w:fldCharType="end"/>
    </w:r>
  </w:p>
  <w:p w14:paraId="2FED2A5B" w14:textId="77777777" w:rsidR="00FA1668" w:rsidRDefault="00FA1668"/>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5F614" w14:textId="77777777" w:rsidR="00FA1668" w:rsidRDefault="00FA1668">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900B58" w14:textId="77777777" w:rsidR="00FA1668" w:rsidRDefault="00FA1668">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E"/>
    <w:multiLevelType w:val="singleLevel"/>
    <w:tmpl w:val="0000001E"/>
    <w:name w:val="WW8Num33"/>
    <w:lvl w:ilvl="0">
      <w:start w:val="17"/>
      <w:numFmt w:val="bullet"/>
      <w:lvlText w:val=""/>
      <w:lvlJc w:val="left"/>
      <w:pPr>
        <w:tabs>
          <w:tab w:val="num" w:pos="0"/>
        </w:tabs>
        <w:ind w:left="720" w:hanging="360"/>
      </w:pPr>
      <w:rPr>
        <w:rFonts w:ascii="Symbol" w:hAnsi="Symbol" w:cs="Symbol"/>
      </w:rPr>
    </w:lvl>
  </w:abstractNum>
  <w:abstractNum w:abstractNumId="1" w15:restartNumberingAfterBreak="0">
    <w:nsid w:val="070D27B7"/>
    <w:multiLevelType w:val="hybridMultilevel"/>
    <w:tmpl w:val="C5723D5E"/>
    <w:lvl w:ilvl="0" w:tplc="81B6ABAE">
      <w:start w:val="6"/>
      <w:numFmt w:val="bullet"/>
      <w:lvlText w:val="-"/>
      <w:lvlJc w:val="left"/>
      <w:pPr>
        <w:ind w:left="720" w:hanging="360"/>
      </w:pPr>
      <w:rPr>
        <w:rFonts w:ascii="Arial" w:eastAsia="Times New Roman" w:hAnsi="Arial" w:cs="Arial" w:hint="default"/>
      </w:rPr>
    </w:lvl>
    <w:lvl w:ilvl="1" w:tplc="81B6ABAE">
      <w:start w:val="6"/>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11628F9"/>
    <w:multiLevelType w:val="multilevel"/>
    <w:tmpl w:val="3878D200"/>
    <w:lvl w:ilvl="0">
      <w:start w:val="1"/>
      <w:numFmt w:val="decimal"/>
      <w:pStyle w:val="Titre1article"/>
      <w:lvlText w:val="%1."/>
      <w:lvlJc w:val="left"/>
      <w:pPr>
        <w:tabs>
          <w:tab w:val="num" w:pos="0"/>
        </w:tabs>
        <w:ind w:left="0" w:hanging="567"/>
      </w:pPr>
      <w:rPr>
        <w:rFonts w:hint="default"/>
      </w:rPr>
    </w:lvl>
    <w:lvl w:ilvl="1">
      <w:start w:val="1"/>
      <w:numFmt w:val="decimal"/>
      <w:pStyle w:val="Titre2"/>
      <w:lvlText w:val="%1.%2."/>
      <w:lvlJc w:val="left"/>
      <w:pPr>
        <w:tabs>
          <w:tab w:val="num" w:pos="0"/>
        </w:tabs>
        <w:ind w:left="0" w:hanging="567"/>
      </w:pPr>
      <w:rPr>
        <w:rFonts w:hint="default"/>
      </w:rPr>
    </w:lvl>
    <w:lvl w:ilvl="2">
      <w:start w:val="1"/>
      <w:numFmt w:val="decimal"/>
      <w:pStyle w:val="Titre3"/>
      <w:lvlText w:val="%1.%2.%3."/>
      <w:lvlJc w:val="left"/>
      <w:pPr>
        <w:tabs>
          <w:tab w:val="num" w:pos="851"/>
        </w:tabs>
        <w:ind w:left="851" w:hanging="851"/>
      </w:pPr>
      <w:rPr>
        <w:rFonts w:hint="default"/>
      </w:rPr>
    </w:lvl>
    <w:lvl w:ilvl="3">
      <w:start w:val="1"/>
      <w:numFmt w:val="decimal"/>
      <w:lvlText w:val="%1.%2.%3.%4."/>
      <w:lvlJc w:val="left"/>
      <w:pPr>
        <w:tabs>
          <w:tab w:val="num" w:pos="1233"/>
        </w:tabs>
        <w:ind w:left="801" w:hanging="648"/>
      </w:pPr>
      <w:rPr>
        <w:rFonts w:hint="default"/>
      </w:rPr>
    </w:lvl>
    <w:lvl w:ilvl="4">
      <w:start w:val="1"/>
      <w:numFmt w:val="decimal"/>
      <w:lvlText w:val="%1.%2.%3.%4.%5."/>
      <w:lvlJc w:val="left"/>
      <w:pPr>
        <w:tabs>
          <w:tab w:val="num" w:pos="1953"/>
        </w:tabs>
        <w:ind w:left="1305" w:hanging="792"/>
      </w:pPr>
      <w:rPr>
        <w:rFonts w:hint="default"/>
      </w:rPr>
    </w:lvl>
    <w:lvl w:ilvl="5">
      <w:start w:val="1"/>
      <w:numFmt w:val="decimal"/>
      <w:lvlText w:val="%1.%2.%3.%4.%5.%6."/>
      <w:lvlJc w:val="left"/>
      <w:pPr>
        <w:tabs>
          <w:tab w:val="num" w:pos="2313"/>
        </w:tabs>
        <w:ind w:left="1809" w:hanging="936"/>
      </w:pPr>
      <w:rPr>
        <w:rFonts w:hint="default"/>
      </w:rPr>
    </w:lvl>
    <w:lvl w:ilvl="6">
      <w:start w:val="1"/>
      <w:numFmt w:val="decimal"/>
      <w:lvlText w:val="%1.%2.%3.%4.%5.%6.%7."/>
      <w:lvlJc w:val="left"/>
      <w:pPr>
        <w:tabs>
          <w:tab w:val="num" w:pos="3033"/>
        </w:tabs>
        <w:ind w:left="2313" w:hanging="1080"/>
      </w:pPr>
      <w:rPr>
        <w:rFonts w:hint="default"/>
      </w:rPr>
    </w:lvl>
    <w:lvl w:ilvl="7">
      <w:start w:val="1"/>
      <w:numFmt w:val="decimal"/>
      <w:lvlText w:val="%1.%2.%3.%4.%5.%6.%7.%8."/>
      <w:lvlJc w:val="left"/>
      <w:pPr>
        <w:tabs>
          <w:tab w:val="num" w:pos="3753"/>
        </w:tabs>
        <w:ind w:left="2817" w:hanging="1224"/>
      </w:pPr>
      <w:rPr>
        <w:rFonts w:hint="default"/>
      </w:rPr>
    </w:lvl>
    <w:lvl w:ilvl="8">
      <w:start w:val="1"/>
      <w:numFmt w:val="decimal"/>
      <w:lvlText w:val="%1.%2.%3.%4.%5.%6.%7.%8.%9."/>
      <w:lvlJc w:val="left"/>
      <w:pPr>
        <w:tabs>
          <w:tab w:val="num" w:pos="4113"/>
        </w:tabs>
        <w:ind w:left="3393" w:hanging="1440"/>
      </w:pPr>
      <w:rPr>
        <w:rFonts w:hint="default"/>
      </w:rPr>
    </w:lvl>
  </w:abstractNum>
  <w:abstractNum w:abstractNumId="3" w15:restartNumberingAfterBreak="0">
    <w:nsid w:val="123068FE"/>
    <w:multiLevelType w:val="hybridMultilevel"/>
    <w:tmpl w:val="4D7E418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92713E2"/>
    <w:multiLevelType w:val="hybridMultilevel"/>
    <w:tmpl w:val="10B2EAF2"/>
    <w:lvl w:ilvl="0" w:tplc="81B6ABAE">
      <w:start w:val="6"/>
      <w:numFmt w:val="bullet"/>
      <w:lvlText w:val="-"/>
      <w:lvlJc w:val="left"/>
      <w:pPr>
        <w:ind w:left="2136" w:hanging="360"/>
      </w:pPr>
      <w:rPr>
        <w:rFonts w:ascii="Arial" w:eastAsia="Times New Roman" w:hAnsi="Arial" w:cs="Arial" w:hint="default"/>
      </w:rPr>
    </w:lvl>
    <w:lvl w:ilvl="1" w:tplc="040C0003" w:tentative="1">
      <w:start w:val="1"/>
      <w:numFmt w:val="bullet"/>
      <w:lvlText w:val="o"/>
      <w:lvlJc w:val="left"/>
      <w:pPr>
        <w:ind w:left="2856" w:hanging="360"/>
      </w:pPr>
      <w:rPr>
        <w:rFonts w:ascii="Courier New" w:hAnsi="Courier New" w:cs="Courier New" w:hint="default"/>
      </w:rPr>
    </w:lvl>
    <w:lvl w:ilvl="2" w:tplc="81B6ABAE">
      <w:start w:val="6"/>
      <w:numFmt w:val="bullet"/>
      <w:lvlText w:val="-"/>
      <w:lvlJc w:val="left"/>
      <w:pPr>
        <w:ind w:left="3576" w:hanging="360"/>
      </w:pPr>
      <w:rPr>
        <w:rFonts w:ascii="Arial" w:eastAsia="Times New Roman" w:hAnsi="Arial" w:cs="Arial"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5" w15:restartNumberingAfterBreak="0">
    <w:nsid w:val="1AA55894"/>
    <w:multiLevelType w:val="hybridMultilevel"/>
    <w:tmpl w:val="D88E37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BD01ED5"/>
    <w:multiLevelType w:val="hybridMultilevel"/>
    <w:tmpl w:val="0C64B3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1F287FCF"/>
    <w:multiLevelType w:val="hybridMultilevel"/>
    <w:tmpl w:val="E1D0A7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0591B38"/>
    <w:multiLevelType w:val="hybridMultilevel"/>
    <w:tmpl w:val="B4EC45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23180328"/>
    <w:multiLevelType w:val="hybridMultilevel"/>
    <w:tmpl w:val="79342A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A7575B"/>
    <w:multiLevelType w:val="hybridMultilevel"/>
    <w:tmpl w:val="9656CEF6"/>
    <w:lvl w:ilvl="0" w:tplc="664AA46E">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8A55630"/>
    <w:multiLevelType w:val="hybridMultilevel"/>
    <w:tmpl w:val="79CAA9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04D0BB9"/>
    <w:multiLevelType w:val="hybridMultilevel"/>
    <w:tmpl w:val="B310E7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4369523C"/>
    <w:multiLevelType w:val="hybridMultilevel"/>
    <w:tmpl w:val="3A7640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585321D"/>
    <w:multiLevelType w:val="hybridMultilevel"/>
    <w:tmpl w:val="960239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4B036BB3"/>
    <w:multiLevelType w:val="hybridMultilevel"/>
    <w:tmpl w:val="0F6849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BBF1FE0"/>
    <w:multiLevelType w:val="hybridMultilevel"/>
    <w:tmpl w:val="B8645B14"/>
    <w:lvl w:ilvl="0" w:tplc="81B6ABAE">
      <w:start w:val="6"/>
      <w:numFmt w:val="bullet"/>
      <w:lvlText w:val="-"/>
      <w:lvlJc w:val="left"/>
      <w:pPr>
        <w:ind w:left="720" w:hanging="360"/>
      </w:pPr>
      <w:rPr>
        <w:rFonts w:ascii="Arial" w:eastAsia="Times New Roman" w:hAnsi="Arial" w:cs="Arial" w:hint="default"/>
      </w:rPr>
    </w:lvl>
    <w:lvl w:ilvl="1" w:tplc="81B6ABAE">
      <w:start w:val="6"/>
      <w:numFmt w:val="bullet"/>
      <w:lvlText w:val="-"/>
      <w:lvlJc w:val="left"/>
      <w:pPr>
        <w:ind w:left="1440" w:hanging="360"/>
      </w:pPr>
      <w:rPr>
        <w:rFonts w:ascii="Arial" w:eastAsia="Times New Roman" w:hAnsi="Arial" w:cs="Arial" w:hint="default"/>
      </w:rPr>
    </w:lvl>
    <w:lvl w:ilvl="2" w:tplc="609E08C0">
      <w:numFmt w:val="bullet"/>
      <w:lvlText w:val="•"/>
      <w:lvlJc w:val="left"/>
      <w:pPr>
        <w:ind w:left="2160" w:hanging="360"/>
      </w:pPr>
      <w:rPr>
        <w:rFonts w:ascii="Arial" w:eastAsia="Times New Roman" w:hAnsi="Arial" w:cs="Arial"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D7A09F5"/>
    <w:multiLevelType w:val="hybridMultilevel"/>
    <w:tmpl w:val="76A65D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E81770C"/>
    <w:multiLevelType w:val="hybridMultilevel"/>
    <w:tmpl w:val="BBC6509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F6B7B48"/>
    <w:multiLevelType w:val="hybridMultilevel"/>
    <w:tmpl w:val="77A69F58"/>
    <w:lvl w:ilvl="0" w:tplc="81B6ABAE">
      <w:start w:val="6"/>
      <w:numFmt w:val="bullet"/>
      <w:lvlText w:val="-"/>
      <w:lvlJc w:val="left"/>
      <w:pPr>
        <w:ind w:left="360" w:hanging="360"/>
      </w:pPr>
      <w:rPr>
        <w:rFonts w:ascii="Arial" w:eastAsia="Times New Roman" w:hAnsi="Arial" w:cs="Arial" w:hint="default"/>
      </w:rPr>
    </w:lvl>
    <w:lvl w:ilvl="1" w:tplc="040C0003">
      <w:start w:val="1"/>
      <w:numFmt w:val="bullet"/>
      <w:lvlText w:val="o"/>
      <w:lvlJc w:val="left"/>
      <w:pPr>
        <w:ind w:left="1080" w:hanging="360"/>
      </w:pPr>
      <w:rPr>
        <w:rFonts w:ascii="Courier New" w:hAnsi="Courier New" w:cs="Courier New" w:hint="default"/>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15:restartNumberingAfterBreak="0">
    <w:nsid w:val="53215526"/>
    <w:multiLevelType w:val="hybridMultilevel"/>
    <w:tmpl w:val="AE0ED980"/>
    <w:lvl w:ilvl="0" w:tplc="81B6ABAE">
      <w:start w:val="6"/>
      <w:numFmt w:val="bullet"/>
      <w:lvlText w:val="-"/>
      <w:lvlJc w:val="left"/>
      <w:pPr>
        <w:ind w:left="720" w:hanging="360"/>
      </w:pPr>
      <w:rPr>
        <w:rFonts w:ascii="Arial" w:eastAsia="Times New Roman" w:hAnsi="Arial" w:cs="Arial" w:hint="default"/>
      </w:rPr>
    </w:lvl>
    <w:lvl w:ilvl="1" w:tplc="81B6ABAE">
      <w:start w:val="6"/>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46F78AF"/>
    <w:multiLevelType w:val="multilevel"/>
    <w:tmpl w:val="3BF46A96"/>
    <w:lvl w:ilvl="0">
      <w:numFmt w:val="bullet"/>
      <w:pStyle w:val="Stylepuces"/>
      <w:lvlText w:val="-"/>
      <w:lvlJc w:val="left"/>
      <w:pPr>
        <w:tabs>
          <w:tab w:val="num" w:pos="720"/>
        </w:tabs>
        <w:ind w:left="720" w:hanging="360"/>
      </w:pPr>
      <w:rPr>
        <w:rFonts w:ascii="Times New Roman" w:eastAsia="Times New Roman" w:hAnsi="Times New Roman" w:hint="default"/>
      </w:rPr>
    </w:lvl>
    <w:lvl w:ilvl="1">
      <w:start w:val="1"/>
      <w:numFmt w:val="decimal"/>
      <w:lvlText w:val="%2."/>
      <w:lvlJc w:val="left"/>
      <w:pPr>
        <w:ind w:left="1440" w:hanging="360"/>
      </w:pPr>
      <w:rPr>
        <w:rFonts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B692768"/>
    <w:multiLevelType w:val="hybridMultilevel"/>
    <w:tmpl w:val="EED27940"/>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cs="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cs="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cs="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3" w15:restartNumberingAfterBreak="0">
    <w:nsid w:val="5DDA33F0"/>
    <w:multiLevelType w:val="hybridMultilevel"/>
    <w:tmpl w:val="565EE2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09628E2"/>
    <w:multiLevelType w:val="hybridMultilevel"/>
    <w:tmpl w:val="4AD89AFA"/>
    <w:lvl w:ilvl="0" w:tplc="2F8A2806">
      <w:start w:val="1"/>
      <w:numFmt w:val="bullet"/>
      <w:pStyle w:val="StyleP3Arial10ptAprs6pt"/>
      <w:lvlText w:val=""/>
      <w:lvlJc w:val="left"/>
      <w:pPr>
        <w:tabs>
          <w:tab w:val="num" w:pos="1440"/>
        </w:tabs>
        <w:ind w:left="144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4E43B78"/>
    <w:multiLevelType w:val="hybridMultilevel"/>
    <w:tmpl w:val="4712E8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65983518"/>
    <w:multiLevelType w:val="hybridMultilevel"/>
    <w:tmpl w:val="E92AA8F4"/>
    <w:lvl w:ilvl="0" w:tplc="81B6ABAE">
      <w:start w:val="6"/>
      <w:numFmt w:val="bullet"/>
      <w:lvlText w:val="-"/>
      <w:lvlJc w:val="left"/>
      <w:pPr>
        <w:ind w:left="720" w:hanging="360"/>
      </w:pPr>
      <w:rPr>
        <w:rFonts w:ascii="Arial" w:eastAsia="Times New Roman" w:hAnsi="Arial" w:cs="Arial" w:hint="default"/>
      </w:rPr>
    </w:lvl>
    <w:lvl w:ilvl="1" w:tplc="31D2C9BC">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AE90BED"/>
    <w:multiLevelType w:val="hybridMultilevel"/>
    <w:tmpl w:val="8DEE65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CE05FB8"/>
    <w:multiLevelType w:val="hybridMultilevel"/>
    <w:tmpl w:val="AF0629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24"/>
  </w:num>
  <w:num w:numId="3">
    <w:abstractNumId w:val="21"/>
  </w:num>
  <w:num w:numId="4">
    <w:abstractNumId w:val="10"/>
  </w:num>
  <w:num w:numId="5">
    <w:abstractNumId w:val="26"/>
  </w:num>
  <w:num w:numId="6">
    <w:abstractNumId w:val="1"/>
  </w:num>
  <w:num w:numId="7">
    <w:abstractNumId w:val="20"/>
  </w:num>
  <w:num w:numId="8">
    <w:abstractNumId w:val="16"/>
  </w:num>
  <w:num w:numId="9">
    <w:abstractNumId w:val="4"/>
  </w:num>
  <w:num w:numId="10">
    <w:abstractNumId w:val="19"/>
  </w:num>
  <w:num w:numId="11">
    <w:abstractNumId w:val="27"/>
  </w:num>
  <w:num w:numId="12">
    <w:abstractNumId w:val="11"/>
  </w:num>
  <w:num w:numId="13">
    <w:abstractNumId w:val="5"/>
  </w:num>
  <w:num w:numId="14">
    <w:abstractNumId w:val="22"/>
  </w:num>
  <w:num w:numId="15">
    <w:abstractNumId w:val="14"/>
  </w:num>
  <w:num w:numId="16">
    <w:abstractNumId w:val="28"/>
  </w:num>
  <w:num w:numId="17">
    <w:abstractNumId w:val="25"/>
  </w:num>
  <w:num w:numId="18">
    <w:abstractNumId w:val="17"/>
  </w:num>
  <w:num w:numId="19">
    <w:abstractNumId w:val="6"/>
  </w:num>
  <w:num w:numId="20">
    <w:abstractNumId w:val="12"/>
  </w:num>
  <w:num w:numId="21">
    <w:abstractNumId w:val="15"/>
  </w:num>
  <w:num w:numId="22">
    <w:abstractNumId w:val="13"/>
  </w:num>
  <w:num w:numId="23">
    <w:abstractNumId w:val="9"/>
  </w:num>
  <w:num w:numId="24">
    <w:abstractNumId w:val="18"/>
  </w:num>
  <w:num w:numId="25">
    <w:abstractNumId w:val="7"/>
  </w:num>
  <w:num w:numId="26">
    <w:abstractNumId w:val="3"/>
  </w:num>
  <w:num w:numId="27">
    <w:abstractNumId w:val="23"/>
  </w:num>
  <w:num w:numId="28">
    <w:abstractNumId w:val="8"/>
  </w:num>
  <w:numIdMacAtCleanup w:val="2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ure Auvray">
    <w15:presenceInfo w15:providerId="AD" w15:userId="S::laure.auvray@universite-paris-saclay.fr::9cfbca92-b716-4a2d-9191-e2cc839f198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49"/>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4967"/>
    <w:rsid w:val="00004888"/>
    <w:rsid w:val="00007DD0"/>
    <w:rsid w:val="00013099"/>
    <w:rsid w:val="00013A95"/>
    <w:rsid w:val="00013FC8"/>
    <w:rsid w:val="000152D0"/>
    <w:rsid w:val="00021959"/>
    <w:rsid w:val="00030A66"/>
    <w:rsid w:val="00031327"/>
    <w:rsid w:val="00034EEB"/>
    <w:rsid w:val="00041800"/>
    <w:rsid w:val="0004284C"/>
    <w:rsid w:val="00042E13"/>
    <w:rsid w:val="000459DD"/>
    <w:rsid w:val="00045A15"/>
    <w:rsid w:val="00046971"/>
    <w:rsid w:val="00047176"/>
    <w:rsid w:val="000527EC"/>
    <w:rsid w:val="00053681"/>
    <w:rsid w:val="00056881"/>
    <w:rsid w:val="00057AA3"/>
    <w:rsid w:val="000601A4"/>
    <w:rsid w:val="00060645"/>
    <w:rsid w:val="00061149"/>
    <w:rsid w:val="000702E4"/>
    <w:rsid w:val="00072206"/>
    <w:rsid w:val="0007594E"/>
    <w:rsid w:val="00081102"/>
    <w:rsid w:val="000860CB"/>
    <w:rsid w:val="00092730"/>
    <w:rsid w:val="00097092"/>
    <w:rsid w:val="00097CC4"/>
    <w:rsid w:val="000A092F"/>
    <w:rsid w:val="000A4173"/>
    <w:rsid w:val="000A7055"/>
    <w:rsid w:val="000B08C5"/>
    <w:rsid w:val="000B1148"/>
    <w:rsid w:val="000B4482"/>
    <w:rsid w:val="000C582D"/>
    <w:rsid w:val="000C6C47"/>
    <w:rsid w:val="000D4790"/>
    <w:rsid w:val="000E1365"/>
    <w:rsid w:val="000F2E3C"/>
    <w:rsid w:val="001011F4"/>
    <w:rsid w:val="00103A97"/>
    <w:rsid w:val="00107A7C"/>
    <w:rsid w:val="00114D67"/>
    <w:rsid w:val="00116B49"/>
    <w:rsid w:val="00117F07"/>
    <w:rsid w:val="001249C6"/>
    <w:rsid w:val="00134060"/>
    <w:rsid w:val="0014076F"/>
    <w:rsid w:val="00141E87"/>
    <w:rsid w:val="001432D4"/>
    <w:rsid w:val="001473C8"/>
    <w:rsid w:val="0015057B"/>
    <w:rsid w:val="0015083B"/>
    <w:rsid w:val="00150CEA"/>
    <w:rsid w:val="001524F9"/>
    <w:rsid w:val="00160CEA"/>
    <w:rsid w:val="00164D22"/>
    <w:rsid w:val="00170465"/>
    <w:rsid w:val="00170EC1"/>
    <w:rsid w:val="00177515"/>
    <w:rsid w:val="00177E49"/>
    <w:rsid w:val="001839B2"/>
    <w:rsid w:val="00186E30"/>
    <w:rsid w:val="00194CF6"/>
    <w:rsid w:val="00196FE5"/>
    <w:rsid w:val="0019762E"/>
    <w:rsid w:val="00197996"/>
    <w:rsid w:val="001A1D0A"/>
    <w:rsid w:val="001A5035"/>
    <w:rsid w:val="001A54C0"/>
    <w:rsid w:val="001A56C4"/>
    <w:rsid w:val="001A62FF"/>
    <w:rsid w:val="001A6837"/>
    <w:rsid w:val="001C17D6"/>
    <w:rsid w:val="001D15B8"/>
    <w:rsid w:val="001D4FAE"/>
    <w:rsid w:val="001D5CB1"/>
    <w:rsid w:val="001D6F5F"/>
    <w:rsid w:val="001E1A15"/>
    <w:rsid w:val="001E3EA7"/>
    <w:rsid w:val="001E50D0"/>
    <w:rsid w:val="001E6560"/>
    <w:rsid w:val="001F0BB9"/>
    <w:rsid w:val="001F69FF"/>
    <w:rsid w:val="00200B24"/>
    <w:rsid w:val="00203BA3"/>
    <w:rsid w:val="002105E7"/>
    <w:rsid w:val="0021506D"/>
    <w:rsid w:val="00217B21"/>
    <w:rsid w:val="00221A68"/>
    <w:rsid w:val="00222CBA"/>
    <w:rsid w:val="00223CE8"/>
    <w:rsid w:val="00235366"/>
    <w:rsid w:val="00235EB1"/>
    <w:rsid w:val="00244457"/>
    <w:rsid w:val="00247CF6"/>
    <w:rsid w:val="00251F93"/>
    <w:rsid w:val="00252C87"/>
    <w:rsid w:val="00263C2B"/>
    <w:rsid w:val="00264166"/>
    <w:rsid w:val="002726FC"/>
    <w:rsid w:val="002775F5"/>
    <w:rsid w:val="002802C8"/>
    <w:rsid w:val="002811E7"/>
    <w:rsid w:val="00287410"/>
    <w:rsid w:val="002930C4"/>
    <w:rsid w:val="002A130A"/>
    <w:rsid w:val="002A1690"/>
    <w:rsid w:val="002A2947"/>
    <w:rsid w:val="002B151D"/>
    <w:rsid w:val="002B240A"/>
    <w:rsid w:val="002B56D6"/>
    <w:rsid w:val="002B5AE6"/>
    <w:rsid w:val="002B5C5B"/>
    <w:rsid w:val="002B63BC"/>
    <w:rsid w:val="002C1874"/>
    <w:rsid w:val="002C2659"/>
    <w:rsid w:val="002D2CE5"/>
    <w:rsid w:val="002D3BA2"/>
    <w:rsid w:val="002D49FC"/>
    <w:rsid w:val="002E1BF6"/>
    <w:rsid w:val="002E1E5F"/>
    <w:rsid w:val="002E5731"/>
    <w:rsid w:val="002E6135"/>
    <w:rsid w:val="00301E27"/>
    <w:rsid w:val="003054F9"/>
    <w:rsid w:val="003107D1"/>
    <w:rsid w:val="00311BC9"/>
    <w:rsid w:val="00320B64"/>
    <w:rsid w:val="00321FA8"/>
    <w:rsid w:val="0032295E"/>
    <w:rsid w:val="00326744"/>
    <w:rsid w:val="00331948"/>
    <w:rsid w:val="00336AA7"/>
    <w:rsid w:val="0034060C"/>
    <w:rsid w:val="003420B4"/>
    <w:rsid w:val="003533EB"/>
    <w:rsid w:val="003535BA"/>
    <w:rsid w:val="003571E7"/>
    <w:rsid w:val="00364C77"/>
    <w:rsid w:val="0036601B"/>
    <w:rsid w:val="00370449"/>
    <w:rsid w:val="00375DF8"/>
    <w:rsid w:val="00376D03"/>
    <w:rsid w:val="003804AB"/>
    <w:rsid w:val="00380CC7"/>
    <w:rsid w:val="00384E44"/>
    <w:rsid w:val="00387255"/>
    <w:rsid w:val="00387D42"/>
    <w:rsid w:val="00387E7D"/>
    <w:rsid w:val="00392658"/>
    <w:rsid w:val="003929DE"/>
    <w:rsid w:val="0039584E"/>
    <w:rsid w:val="003A61B9"/>
    <w:rsid w:val="003B06E2"/>
    <w:rsid w:val="003B224D"/>
    <w:rsid w:val="003B3CEE"/>
    <w:rsid w:val="003B3FA3"/>
    <w:rsid w:val="003C1606"/>
    <w:rsid w:val="003C408F"/>
    <w:rsid w:val="003E4F44"/>
    <w:rsid w:val="003E61A7"/>
    <w:rsid w:val="003F652E"/>
    <w:rsid w:val="003F67D6"/>
    <w:rsid w:val="00403930"/>
    <w:rsid w:val="00404137"/>
    <w:rsid w:val="0040449D"/>
    <w:rsid w:val="004144A7"/>
    <w:rsid w:val="00415D62"/>
    <w:rsid w:val="00416D52"/>
    <w:rsid w:val="00432208"/>
    <w:rsid w:val="00432AB3"/>
    <w:rsid w:val="00433324"/>
    <w:rsid w:val="004337A1"/>
    <w:rsid w:val="004356F5"/>
    <w:rsid w:val="00435BF9"/>
    <w:rsid w:val="0043659F"/>
    <w:rsid w:val="00440DB6"/>
    <w:rsid w:val="004457D1"/>
    <w:rsid w:val="0044587A"/>
    <w:rsid w:val="00451D53"/>
    <w:rsid w:val="00453F0C"/>
    <w:rsid w:val="00456B5D"/>
    <w:rsid w:val="00456D5F"/>
    <w:rsid w:val="00463CBC"/>
    <w:rsid w:val="0046765E"/>
    <w:rsid w:val="00470BF7"/>
    <w:rsid w:val="00474F33"/>
    <w:rsid w:val="0048196B"/>
    <w:rsid w:val="004834CB"/>
    <w:rsid w:val="004847B5"/>
    <w:rsid w:val="00485C3E"/>
    <w:rsid w:val="00496E50"/>
    <w:rsid w:val="00497493"/>
    <w:rsid w:val="004A532F"/>
    <w:rsid w:val="004A6391"/>
    <w:rsid w:val="004B16A6"/>
    <w:rsid w:val="004B374C"/>
    <w:rsid w:val="004C7CBD"/>
    <w:rsid w:val="004D12F5"/>
    <w:rsid w:val="004D472F"/>
    <w:rsid w:val="004E3148"/>
    <w:rsid w:val="004E6FC2"/>
    <w:rsid w:val="004E7DE3"/>
    <w:rsid w:val="004F2CE1"/>
    <w:rsid w:val="005011F8"/>
    <w:rsid w:val="00504886"/>
    <w:rsid w:val="00510038"/>
    <w:rsid w:val="00515C80"/>
    <w:rsid w:val="005160C3"/>
    <w:rsid w:val="0052314A"/>
    <w:rsid w:val="0052534D"/>
    <w:rsid w:val="005426B7"/>
    <w:rsid w:val="00543BCC"/>
    <w:rsid w:val="00546A89"/>
    <w:rsid w:val="005477BE"/>
    <w:rsid w:val="00550C70"/>
    <w:rsid w:val="00554AAB"/>
    <w:rsid w:val="005552CB"/>
    <w:rsid w:val="00560519"/>
    <w:rsid w:val="00566C11"/>
    <w:rsid w:val="0057738B"/>
    <w:rsid w:val="00580411"/>
    <w:rsid w:val="005809B2"/>
    <w:rsid w:val="005810C2"/>
    <w:rsid w:val="00582093"/>
    <w:rsid w:val="005924F4"/>
    <w:rsid w:val="00594AD5"/>
    <w:rsid w:val="005977F9"/>
    <w:rsid w:val="005A250E"/>
    <w:rsid w:val="005A4715"/>
    <w:rsid w:val="005B1B5A"/>
    <w:rsid w:val="005B5C7A"/>
    <w:rsid w:val="005C114E"/>
    <w:rsid w:val="005D19C9"/>
    <w:rsid w:val="005D58A2"/>
    <w:rsid w:val="005E020C"/>
    <w:rsid w:val="005E307E"/>
    <w:rsid w:val="005F2C07"/>
    <w:rsid w:val="005F2F62"/>
    <w:rsid w:val="005F41A4"/>
    <w:rsid w:val="005F421C"/>
    <w:rsid w:val="00603ADC"/>
    <w:rsid w:val="0060431D"/>
    <w:rsid w:val="00604B2F"/>
    <w:rsid w:val="006102F1"/>
    <w:rsid w:val="00610EE9"/>
    <w:rsid w:val="0061170E"/>
    <w:rsid w:val="00611964"/>
    <w:rsid w:val="006136D2"/>
    <w:rsid w:val="00614667"/>
    <w:rsid w:val="00615E40"/>
    <w:rsid w:val="00623E22"/>
    <w:rsid w:val="00626A52"/>
    <w:rsid w:val="00627D63"/>
    <w:rsid w:val="006309BD"/>
    <w:rsid w:val="006356FE"/>
    <w:rsid w:val="00637BB4"/>
    <w:rsid w:val="006420C5"/>
    <w:rsid w:val="006437F0"/>
    <w:rsid w:val="006453A2"/>
    <w:rsid w:val="00645473"/>
    <w:rsid w:val="0065007C"/>
    <w:rsid w:val="006524EC"/>
    <w:rsid w:val="00654967"/>
    <w:rsid w:val="00656F5C"/>
    <w:rsid w:val="006723FB"/>
    <w:rsid w:val="00673DDF"/>
    <w:rsid w:val="00674BE9"/>
    <w:rsid w:val="00680790"/>
    <w:rsid w:val="006810DF"/>
    <w:rsid w:val="006835E7"/>
    <w:rsid w:val="00684338"/>
    <w:rsid w:val="00685090"/>
    <w:rsid w:val="00685B20"/>
    <w:rsid w:val="00686750"/>
    <w:rsid w:val="0068736D"/>
    <w:rsid w:val="006877B6"/>
    <w:rsid w:val="00692F5E"/>
    <w:rsid w:val="00695364"/>
    <w:rsid w:val="006B7C0B"/>
    <w:rsid w:val="006D0B3B"/>
    <w:rsid w:val="006D2C9B"/>
    <w:rsid w:val="006D4A45"/>
    <w:rsid w:val="006F33A9"/>
    <w:rsid w:val="006F3CE2"/>
    <w:rsid w:val="006F518C"/>
    <w:rsid w:val="006F69BB"/>
    <w:rsid w:val="006F6F89"/>
    <w:rsid w:val="00701510"/>
    <w:rsid w:val="00701A31"/>
    <w:rsid w:val="00704D3B"/>
    <w:rsid w:val="00706E49"/>
    <w:rsid w:val="00707B70"/>
    <w:rsid w:val="00707FF9"/>
    <w:rsid w:val="007108BA"/>
    <w:rsid w:val="00711B44"/>
    <w:rsid w:val="00714970"/>
    <w:rsid w:val="007156AC"/>
    <w:rsid w:val="0071673C"/>
    <w:rsid w:val="007210B8"/>
    <w:rsid w:val="00721646"/>
    <w:rsid w:val="00722B09"/>
    <w:rsid w:val="0073471D"/>
    <w:rsid w:val="007356CC"/>
    <w:rsid w:val="007357DA"/>
    <w:rsid w:val="00742135"/>
    <w:rsid w:val="00745FB7"/>
    <w:rsid w:val="00747AB7"/>
    <w:rsid w:val="00751D21"/>
    <w:rsid w:val="00753986"/>
    <w:rsid w:val="007617F8"/>
    <w:rsid w:val="00763780"/>
    <w:rsid w:val="00763A30"/>
    <w:rsid w:val="007665F1"/>
    <w:rsid w:val="007666AA"/>
    <w:rsid w:val="0077111E"/>
    <w:rsid w:val="00772432"/>
    <w:rsid w:val="007840D7"/>
    <w:rsid w:val="007859B1"/>
    <w:rsid w:val="00792BC2"/>
    <w:rsid w:val="00796F5A"/>
    <w:rsid w:val="007A2D22"/>
    <w:rsid w:val="007A3A06"/>
    <w:rsid w:val="007A4CBD"/>
    <w:rsid w:val="007A52CD"/>
    <w:rsid w:val="007A576A"/>
    <w:rsid w:val="007A6D61"/>
    <w:rsid w:val="007A7A94"/>
    <w:rsid w:val="007B0742"/>
    <w:rsid w:val="007B0E63"/>
    <w:rsid w:val="007B1F25"/>
    <w:rsid w:val="007B55FA"/>
    <w:rsid w:val="007B5A2E"/>
    <w:rsid w:val="007B695B"/>
    <w:rsid w:val="007C35C9"/>
    <w:rsid w:val="007C36B3"/>
    <w:rsid w:val="007C6720"/>
    <w:rsid w:val="007C7949"/>
    <w:rsid w:val="007D138B"/>
    <w:rsid w:val="007E1FB6"/>
    <w:rsid w:val="007E20DE"/>
    <w:rsid w:val="007E5301"/>
    <w:rsid w:val="007E5DD8"/>
    <w:rsid w:val="007E7894"/>
    <w:rsid w:val="007E793C"/>
    <w:rsid w:val="007E7E97"/>
    <w:rsid w:val="007F0B88"/>
    <w:rsid w:val="007F2C39"/>
    <w:rsid w:val="007F47B2"/>
    <w:rsid w:val="007F5E42"/>
    <w:rsid w:val="007F7EA4"/>
    <w:rsid w:val="00801B9B"/>
    <w:rsid w:val="00802BE6"/>
    <w:rsid w:val="00802D6F"/>
    <w:rsid w:val="00807CDB"/>
    <w:rsid w:val="008130E8"/>
    <w:rsid w:val="008137C4"/>
    <w:rsid w:val="00817B17"/>
    <w:rsid w:val="00820EC3"/>
    <w:rsid w:val="00827AE6"/>
    <w:rsid w:val="008350B5"/>
    <w:rsid w:val="00835172"/>
    <w:rsid w:val="00841E9F"/>
    <w:rsid w:val="00844C5A"/>
    <w:rsid w:val="0084785E"/>
    <w:rsid w:val="00847933"/>
    <w:rsid w:val="00855127"/>
    <w:rsid w:val="008563B4"/>
    <w:rsid w:val="00856A83"/>
    <w:rsid w:val="0086192F"/>
    <w:rsid w:val="00863A94"/>
    <w:rsid w:val="0086480B"/>
    <w:rsid w:val="00865EAD"/>
    <w:rsid w:val="0086740E"/>
    <w:rsid w:val="008709FC"/>
    <w:rsid w:val="00884392"/>
    <w:rsid w:val="0088453F"/>
    <w:rsid w:val="00887B6C"/>
    <w:rsid w:val="008925A4"/>
    <w:rsid w:val="00893D71"/>
    <w:rsid w:val="00894965"/>
    <w:rsid w:val="00894AAF"/>
    <w:rsid w:val="008973F3"/>
    <w:rsid w:val="008A45C6"/>
    <w:rsid w:val="008A7F59"/>
    <w:rsid w:val="008B15DE"/>
    <w:rsid w:val="008B287E"/>
    <w:rsid w:val="008C3B5C"/>
    <w:rsid w:val="008C68B4"/>
    <w:rsid w:val="008D4835"/>
    <w:rsid w:val="008F25F8"/>
    <w:rsid w:val="008F4450"/>
    <w:rsid w:val="00900C94"/>
    <w:rsid w:val="00907033"/>
    <w:rsid w:val="00910C7F"/>
    <w:rsid w:val="0091388B"/>
    <w:rsid w:val="00913FE1"/>
    <w:rsid w:val="009217F0"/>
    <w:rsid w:val="0092276D"/>
    <w:rsid w:val="00924351"/>
    <w:rsid w:val="00926D81"/>
    <w:rsid w:val="00930335"/>
    <w:rsid w:val="00930F0E"/>
    <w:rsid w:val="009316A8"/>
    <w:rsid w:val="00937E25"/>
    <w:rsid w:val="00943C45"/>
    <w:rsid w:val="00946CA1"/>
    <w:rsid w:val="00947234"/>
    <w:rsid w:val="00957EFA"/>
    <w:rsid w:val="009627A8"/>
    <w:rsid w:val="009638EB"/>
    <w:rsid w:val="00966FA7"/>
    <w:rsid w:val="00981EF4"/>
    <w:rsid w:val="00984214"/>
    <w:rsid w:val="00984685"/>
    <w:rsid w:val="00984B5E"/>
    <w:rsid w:val="009868DA"/>
    <w:rsid w:val="00987CC3"/>
    <w:rsid w:val="00990C00"/>
    <w:rsid w:val="0099763C"/>
    <w:rsid w:val="009A34C4"/>
    <w:rsid w:val="009A51A8"/>
    <w:rsid w:val="009A6C0E"/>
    <w:rsid w:val="009B210B"/>
    <w:rsid w:val="009B3107"/>
    <w:rsid w:val="009B6ECF"/>
    <w:rsid w:val="009C2407"/>
    <w:rsid w:val="009C57B7"/>
    <w:rsid w:val="009D19AD"/>
    <w:rsid w:val="009E7FDD"/>
    <w:rsid w:val="009F0272"/>
    <w:rsid w:val="009F1C82"/>
    <w:rsid w:val="009F3A89"/>
    <w:rsid w:val="009F4440"/>
    <w:rsid w:val="009F4B7C"/>
    <w:rsid w:val="00A15BFC"/>
    <w:rsid w:val="00A17023"/>
    <w:rsid w:val="00A17C6A"/>
    <w:rsid w:val="00A2456F"/>
    <w:rsid w:val="00A303AD"/>
    <w:rsid w:val="00A31D50"/>
    <w:rsid w:val="00A40B3C"/>
    <w:rsid w:val="00A44BCC"/>
    <w:rsid w:val="00A455B8"/>
    <w:rsid w:val="00A455BA"/>
    <w:rsid w:val="00A474E0"/>
    <w:rsid w:val="00A52944"/>
    <w:rsid w:val="00A5540D"/>
    <w:rsid w:val="00A67651"/>
    <w:rsid w:val="00A7385F"/>
    <w:rsid w:val="00A743B4"/>
    <w:rsid w:val="00A767D4"/>
    <w:rsid w:val="00A76FCE"/>
    <w:rsid w:val="00A77CC9"/>
    <w:rsid w:val="00A82121"/>
    <w:rsid w:val="00A821F5"/>
    <w:rsid w:val="00A82E85"/>
    <w:rsid w:val="00A92E36"/>
    <w:rsid w:val="00A941BD"/>
    <w:rsid w:val="00A94C3E"/>
    <w:rsid w:val="00AA2759"/>
    <w:rsid w:val="00AA4A5D"/>
    <w:rsid w:val="00AA7351"/>
    <w:rsid w:val="00AB35A2"/>
    <w:rsid w:val="00AC1DFB"/>
    <w:rsid w:val="00AC29F0"/>
    <w:rsid w:val="00AC5923"/>
    <w:rsid w:val="00AD1C4D"/>
    <w:rsid w:val="00AD491A"/>
    <w:rsid w:val="00AD4BB4"/>
    <w:rsid w:val="00AD547B"/>
    <w:rsid w:val="00AE36BB"/>
    <w:rsid w:val="00AE5987"/>
    <w:rsid w:val="00AF5185"/>
    <w:rsid w:val="00AF6B4F"/>
    <w:rsid w:val="00AF6D96"/>
    <w:rsid w:val="00AF760A"/>
    <w:rsid w:val="00AF7D13"/>
    <w:rsid w:val="00B01784"/>
    <w:rsid w:val="00B0301B"/>
    <w:rsid w:val="00B030F5"/>
    <w:rsid w:val="00B05BEC"/>
    <w:rsid w:val="00B102D7"/>
    <w:rsid w:val="00B23D3D"/>
    <w:rsid w:val="00B2447D"/>
    <w:rsid w:val="00B25C7D"/>
    <w:rsid w:val="00B25E00"/>
    <w:rsid w:val="00B31450"/>
    <w:rsid w:val="00B31A2B"/>
    <w:rsid w:val="00B3562E"/>
    <w:rsid w:val="00B35883"/>
    <w:rsid w:val="00B4009E"/>
    <w:rsid w:val="00B4602E"/>
    <w:rsid w:val="00B527BE"/>
    <w:rsid w:val="00B5316C"/>
    <w:rsid w:val="00B55AC8"/>
    <w:rsid w:val="00B56CE4"/>
    <w:rsid w:val="00B67343"/>
    <w:rsid w:val="00B704C9"/>
    <w:rsid w:val="00B70D2D"/>
    <w:rsid w:val="00B717EE"/>
    <w:rsid w:val="00B734EA"/>
    <w:rsid w:val="00B85D28"/>
    <w:rsid w:val="00B869CC"/>
    <w:rsid w:val="00B9022B"/>
    <w:rsid w:val="00B92A85"/>
    <w:rsid w:val="00BA0F5A"/>
    <w:rsid w:val="00BA1609"/>
    <w:rsid w:val="00BA2585"/>
    <w:rsid w:val="00BB1144"/>
    <w:rsid w:val="00BC14A9"/>
    <w:rsid w:val="00BC18F4"/>
    <w:rsid w:val="00BC3854"/>
    <w:rsid w:val="00BC3F82"/>
    <w:rsid w:val="00BC4298"/>
    <w:rsid w:val="00BC6EF8"/>
    <w:rsid w:val="00BD0C01"/>
    <w:rsid w:val="00BD1881"/>
    <w:rsid w:val="00BD23EE"/>
    <w:rsid w:val="00BD2B99"/>
    <w:rsid w:val="00BD4CA2"/>
    <w:rsid w:val="00BD5A67"/>
    <w:rsid w:val="00BE4B33"/>
    <w:rsid w:val="00BE590B"/>
    <w:rsid w:val="00BE5DD0"/>
    <w:rsid w:val="00BE6086"/>
    <w:rsid w:val="00BE7509"/>
    <w:rsid w:val="00BF6919"/>
    <w:rsid w:val="00BF7633"/>
    <w:rsid w:val="00C025AB"/>
    <w:rsid w:val="00C048E3"/>
    <w:rsid w:val="00C151F8"/>
    <w:rsid w:val="00C1742E"/>
    <w:rsid w:val="00C20D61"/>
    <w:rsid w:val="00C20E4B"/>
    <w:rsid w:val="00C21FD5"/>
    <w:rsid w:val="00C23023"/>
    <w:rsid w:val="00C262E5"/>
    <w:rsid w:val="00C274F8"/>
    <w:rsid w:val="00C31350"/>
    <w:rsid w:val="00C33364"/>
    <w:rsid w:val="00C333EE"/>
    <w:rsid w:val="00C3404A"/>
    <w:rsid w:val="00C37267"/>
    <w:rsid w:val="00C4219C"/>
    <w:rsid w:val="00C4340E"/>
    <w:rsid w:val="00C43C61"/>
    <w:rsid w:val="00C445A3"/>
    <w:rsid w:val="00C71B5E"/>
    <w:rsid w:val="00C73D43"/>
    <w:rsid w:val="00C74BAC"/>
    <w:rsid w:val="00C753F5"/>
    <w:rsid w:val="00C765E7"/>
    <w:rsid w:val="00C77145"/>
    <w:rsid w:val="00C77962"/>
    <w:rsid w:val="00C82850"/>
    <w:rsid w:val="00C84705"/>
    <w:rsid w:val="00C85D2C"/>
    <w:rsid w:val="00C9027B"/>
    <w:rsid w:val="00C90E97"/>
    <w:rsid w:val="00C915C0"/>
    <w:rsid w:val="00C92870"/>
    <w:rsid w:val="00C9477A"/>
    <w:rsid w:val="00C95B00"/>
    <w:rsid w:val="00CA07DA"/>
    <w:rsid w:val="00CA5041"/>
    <w:rsid w:val="00CA5333"/>
    <w:rsid w:val="00CB5109"/>
    <w:rsid w:val="00CC2630"/>
    <w:rsid w:val="00CD20B0"/>
    <w:rsid w:val="00CD2A57"/>
    <w:rsid w:val="00CD3E01"/>
    <w:rsid w:val="00CD58D9"/>
    <w:rsid w:val="00CE0848"/>
    <w:rsid w:val="00CE2700"/>
    <w:rsid w:val="00CF124D"/>
    <w:rsid w:val="00CF1B22"/>
    <w:rsid w:val="00CF39D6"/>
    <w:rsid w:val="00CF589C"/>
    <w:rsid w:val="00CF799A"/>
    <w:rsid w:val="00CF7FBB"/>
    <w:rsid w:val="00D0557C"/>
    <w:rsid w:val="00D0765A"/>
    <w:rsid w:val="00D11AFE"/>
    <w:rsid w:val="00D13B71"/>
    <w:rsid w:val="00D25C68"/>
    <w:rsid w:val="00D42EB4"/>
    <w:rsid w:val="00D53B07"/>
    <w:rsid w:val="00D56674"/>
    <w:rsid w:val="00D62CCF"/>
    <w:rsid w:val="00D65159"/>
    <w:rsid w:val="00D65623"/>
    <w:rsid w:val="00D66237"/>
    <w:rsid w:val="00D672B1"/>
    <w:rsid w:val="00D800BA"/>
    <w:rsid w:val="00D81CC1"/>
    <w:rsid w:val="00D83260"/>
    <w:rsid w:val="00D85453"/>
    <w:rsid w:val="00D8633B"/>
    <w:rsid w:val="00D91C65"/>
    <w:rsid w:val="00D962E7"/>
    <w:rsid w:val="00DA5C6F"/>
    <w:rsid w:val="00DA7156"/>
    <w:rsid w:val="00DA77F2"/>
    <w:rsid w:val="00DB44B0"/>
    <w:rsid w:val="00DB54E1"/>
    <w:rsid w:val="00DC1ED1"/>
    <w:rsid w:val="00DD14EF"/>
    <w:rsid w:val="00DD2F29"/>
    <w:rsid w:val="00DD31F9"/>
    <w:rsid w:val="00DD3F34"/>
    <w:rsid w:val="00DD54E6"/>
    <w:rsid w:val="00DD5988"/>
    <w:rsid w:val="00DD713C"/>
    <w:rsid w:val="00DF0582"/>
    <w:rsid w:val="00DF0E84"/>
    <w:rsid w:val="00DF25AB"/>
    <w:rsid w:val="00DF37D1"/>
    <w:rsid w:val="00DF7471"/>
    <w:rsid w:val="00DF7BE4"/>
    <w:rsid w:val="00E0496E"/>
    <w:rsid w:val="00E105A1"/>
    <w:rsid w:val="00E10B24"/>
    <w:rsid w:val="00E147D7"/>
    <w:rsid w:val="00E25916"/>
    <w:rsid w:val="00E31F7E"/>
    <w:rsid w:val="00E34774"/>
    <w:rsid w:val="00E35DA9"/>
    <w:rsid w:val="00E37234"/>
    <w:rsid w:val="00E37B71"/>
    <w:rsid w:val="00E407BD"/>
    <w:rsid w:val="00E47A74"/>
    <w:rsid w:val="00E52195"/>
    <w:rsid w:val="00E54F00"/>
    <w:rsid w:val="00E71007"/>
    <w:rsid w:val="00E75593"/>
    <w:rsid w:val="00E77227"/>
    <w:rsid w:val="00E92829"/>
    <w:rsid w:val="00E947AE"/>
    <w:rsid w:val="00E97C65"/>
    <w:rsid w:val="00EA1E1B"/>
    <w:rsid w:val="00EA3125"/>
    <w:rsid w:val="00EA4936"/>
    <w:rsid w:val="00EA51F9"/>
    <w:rsid w:val="00EA64E1"/>
    <w:rsid w:val="00EB1633"/>
    <w:rsid w:val="00EB305A"/>
    <w:rsid w:val="00EB4A8D"/>
    <w:rsid w:val="00EB7027"/>
    <w:rsid w:val="00EC2AC5"/>
    <w:rsid w:val="00EC39E3"/>
    <w:rsid w:val="00EC45F6"/>
    <w:rsid w:val="00EC59FD"/>
    <w:rsid w:val="00ED3E93"/>
    <w:rsid w:val="00ED4BBC"/>
    <w:rsid w:val="00EE35B5"/>
    <w:rsid w:val="00EF1B7B"/>
    <w:rsid w:val="00EF26C5"/>
    <w:rsid w:val="00EF4E0F"/>
    <w:rsid w:val="00EF5BF1"/>
    <w:rsid w:val="00F07446"/>
    <w:rsid w:val="00F0795C"/>
    <w:rsid w:val="00F07D9C"/>
    <w:rsid w:val="00F15D36"/>
    <w:rsid w:val="00F16200"/>
    <w:rsid w:val="00F23982"/>
    <w:rsid w:val="00F258B4"/>
    <w:rsid w:val="00F266AB"/>
    <w:rsid w:val="00F27DA9"/>
    <w:rsid w:val="00F30EA7"/>
    <w:rsid w:val="00F3564D"/>
    <w:rsid w:val="00F36988"/>
    <w:rsid w:val="00F376E9"/>
    <w:rsid w:val="00F400DE"/>
    <w:rsid w:val="00F42AC9"/>
    <w:rsid w:val="00F43823"/>
    <w:rsid w:val="00F43D49"/>
    <w:rsid w:val="00F46599"/>
    <w:rsid w:val="00F47F1B"/>
    <w:rsid w:val="00F50888"/>
    <w:rsid w:val="00F53B71"/>
    <w:rsid w:val="00F546F6"/>
    <w:rsid w:val="00F56290"/>
    <w:rsid w:val="00F56435"/>
    <w:rsid w:val="00F56817"/>
    <w:rsid w:val="00F6167C"/>
    <w:rsid w:val="00F638F8"/>
    <w:rsid w:val="00F64A40"/>
    <w:rsid w:val="00F66C37"/>
    <w:rsid w:val="00F750B2"/>
    <w:rsid w:val="00F76799"/>
    <w:rsid w:val="00F76B22"/>
    <w:rsid w:val="00F81AD2"/>
    <w:rsid w:val="00F81BAF"/>
    <w:rsid w:val="00F828F3"/>
    <w:rsid w:val="00F83698"/>
    <w:rsid w:val="00F933C0"/>
    <w:rsid w:val="00FA1668"/>
    <w:rsid w:val="00FA388C"/>
    <w:rsid w:val="00FA7029"/>
    <w:rsid w:val="00FA7387"/>
    <w:rsid w:val="00FA7ABD"/>
    <w:rsid w:val="00FB37AA"/>
    <w:rsid w:val="00FB383A"/>
    <w:rsid w:val="00FB43FF"/>
    <w:rsid w:val="00FB4D63"/>
    <w:rsid w:val="00FB56FE"/>
    <w:rsid w:val="00FB587E"/>
    <w:rsid w:val="00FB5E80"/>
    <w:rsid w:val="00FB7464"/>
    <w:rsid w:val="00FC2D78"/>
    <w:rsid w:val="00FC6F64"/>
    <w:rsid w:val="00FC782B"/>
    <w:rsid w:val="00FD0D25"/>
    <w:rsid w:val="00FD3327"/>
    <w:rsid w:val="00FD52A7"/>
    <w:rsid w:val="00FD6DF3"/>
    <w:rsid w:val="00FE00C2"/>
    <w:rsid w:val="00FE1EC3"/>
    <w:rsid w:val="00FE2907"/>
    <w:rsid w:val="00FE555C"/>
    <w:rsid w:val="00FE7A29"/>
    <w:rsid w:val="00FF264E"/>
    <w:rsid w:val="00FF2ADF"/>
    <w:rsid w:val="00FF481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38D4FCA"/>
  <w15:docId w15:val="{8EBD4B5D-E101-458B-950C-E43A2BCCF9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506D"/>
    <w:rPr>
      <w:rFonts w:ascii="Times New Roman" w:eastAsia="Times New Roman" w:hAnsi="Times New Roman"/>
      <w:sz w:val="24"/>
      <w:szCs w:val="24"/>
    </w:rPr>
  </w:style>
  <w:style w:type="paragraph" w:styleId="Titre1">
    <w:name w:val="heading 1"/>
    <w:basedOn w:val="Normal"/>
    <w:next w:val="Normal"/>
    <w:qFormat/>
    <w:rsid w:val="00F53B71"/>
    <w:pPr>
      <w:keepNext/>
      <w:keepLines/>
      <w:spacing w:before="480"/>
      <w:outlineLvl w:val="0"/>
    </w:pPr>
    <w:rPr>
      <w:rFonts w:ascii="Cambria" w:hAnsi="Cambria"/>
      <w:b/>
      <w:bCs/>
      <w:color w:val="365F91"/>
      <w:sz w:val="28"/>
      <w:szCs w:val="28"/>
    </w:rPr>
  </w:style>
  <w:style w:type="paragraph" w:styleId="Titre2">
    <w:name w:val="heading 2"/>
    <w:basedOn w:val="Normal"/>
    <w:next w:val="Normal"/>
    <w:qFormat/>
    <w:rsid w:val="00F53B71"/>
    <w:pPr>
      <w:keepNext/>
      <w:numPr>
        <w:ilvl w:val="1"/>
        <w:numId w:val="1"/>
      </w:numPr>
      <w:pBdr>
        <w:bottom w:val="single" w:sz="6" w:space="1" w:color="auto"/>
      </w:pBdr>
      <w:tabs>
        <w:tab w:val="left" w:pos="576"/>
      </w:tabs>
      <w:spacing w:before="240" w:after="240"/>
      <w:outlineLvl w:val="1"/>
    </w:pPr>
    <w:rPr>
      <w:b/>
      <w:i/>
      <w:smallCaps/>
    </w:rPr>
  </w:style>
  <w:style w:type="paragraph" w:styleId="Titre3">
    <w:name w:val="heading 3"/>
    <w:basedOn w:val="Normal"/>
    <w:next w:val="Normal"/>
    <w:qFormat/>
    <w:rsid w:val="00F53B71"/>
    <w:pPr>
      <w:keepNext/>
      <w:numPr>
        <w:ilvl w:val="2"/>
        <w:numId w:val="1"/>
      </w:numPr>
      <w:tabs>
        <w:tab w:val="left" w:pos="720"/>
      </w:tabs>
      <w:spacing w:before="240" w:after="240"/>
      <w:outlineLvl w:val="2"/>
    </w:pPr>
    <w:rPr>
      <w:i/>
      <w:smallCaps/>
      <w:u w:val="single"/>
    </w:rPr>
  </w:style>
  <w:style w:type="paragraph" w:styleId="Titre4">
    <w:name w:val="heading 4"/>
    <w:basedOn w:val="Normal"/>
    <w:next w:val="Normal"/>
    <w:qFormat/>
    <w:rsid w:val="00F53B71"/>
    <w:pPr>
      <w:keepNext/>
      <w:outlineLvl w:val="3"/>
    </w:pPr>
    <w:rPr>
      <w:b/>
      <w:bCs/>
      <w:color w:val="3366FF"/>
    </w:rPr>
  </w:style>
  <w:style w:type="paragraph" w:styleId="Titre5">
    <w:name w:val="heading 5"/>
    <w:basedOn w:val="Normal"/>
    <w:next w:val="Normal"/>
    <w:qFormat/>
    <w:rsid w:val="00F53B71"/>
    <w:pPr>
      <w:keepNext/>
      <w:outlineLvl w:val="4"/>
    </w:pPr>
    <w:rPr>
      <w:b/>
      <w:bCs/>
      <w:color w:val="FFCC99"/>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rsid w:val="00F53B71"/>
    <w:rPr>
      <w:rFonts w:ascii="Arial" w:eastAsia="Times New Roman" w:hAnsi="Arial"/>
      <w:b/>
      <w:i/>
      <w:smallCaps/>
    </w:rPr>
  </w:style>
  <w:style w:type="character" w:customStyle="1" w:styleId="Titre3Car">
    <w:name w:val="Titre 3 Car"/>
    <w:rsid w:val="00F53B71"/>
    <w:rPr>
      <w:rFonts w:ascii="Arial" w:eastAsia="Times New Roman" w:hAnsi="Arial"/>
      <w:i/>
      <w:smallCaps/>
      <w:u w:val="single"/>
    </w:rPr>
  </w:style>
  <w:style w:type="character" w:styleId="Lienhypertexte">
    <w:name w:val="Hyperlink"/>
    <w:uiPriority w:val="99"/>
    <w:rsid w:val="00F53B71"/>
    <w:rPr>
      <w:color w:val="0000FF"/>
      <w:u w:val="single"/>
    </w:rPr>
  </w:style>
  <w:style w:type="character" w:styleId="Numrodepage">
    <w:name w:val="page number"/>
    <w:basedOn w:val="Policepardfaut"/>
    <w:semiHidden/>
    <w:rsid w:val="00F53B71"/>
  </w:style>
  <w:style w:type="paragraph" w:customStyle="1" w:styleId="standard">
    <w:name w:val="standard"/>
    <w:basedOn w:val="Normal"/>
    <w:rsid w:val="00F53B71"/>
    <w:pPr>
      <w:spacing w:after="240"/>
    </w:pPr>
    <w:rPr>
      <w:rFonts w:ascii="Century Gothic" w:hAnsi="Century Gothic"/>
    </w:rPr>
  </w:style>
  <w:style w:type="paragraph" w:styleId="Pieddepage">
    <w:name w:val="footer"/>
    <w:basedOn w:val="Normal"/>
    <w:uiPriority w:val="99"/>
    <w:rsid w:val="00F53B71"/>
    <w:pPr>
      <w:tabs>
        <w:tab w:val="center" w:pos="4536"/>
        <w:tab w:val="right" w:pos="9072"/>
      </w:tabs>
    </w:pPr>
    <w:rPr>
      <w:i/>
      <w:sz w:val="18"/>
    </w:rPr>
  </w:style>
  <w:style w:type="character" w:customStyle="1" w:styleId="PieddepageCar">
    <w:name w:val="Pied de page Car"/>
    <w:uiPriority w:val="99"/>
    <w:rsid w:val="00F53B71"/>
    <w:rPr>
      <w:rFonts w:ascii="Arial" w:eastAsia="Times New Roman" w:hAnsi="Arial" w:cs="Times New Roman"/>
      <w:i/>
      <w:sz w:val="18"/>
      <w:szCs w:val="20"/>
      <w:lang w:eastAsia="fr-FR"/>
    </w:rPr>
  </w:style>
  <w:style w:type="paragraph" w:customStyle="1" w:styleId="Titre1article">
    <w:name w:val="Titre 1 article"/>
    <w:basedOn w:val="Titre1"/>
    <w:next w:val="Normal"/>
    <w:rsid w:val="00F53B71"/>
    <w:pPr>
      <w:keepLines w:val="0"/>
      <w:numPr>
        <w:numId w:val="1"/>
      </w:numPr>
      <w:shd w:val="clear" w:color="auto" w:fill="000000"/>
      <w:tabs>
        <w:tab w:val="left" w:pos="-135"/>
        <w:tab w:val="left" w:pos="2623"/>
      </w:tabs>
      <w:spacing w:before="240" w:after="240"/>
    </w:pPr>
    <w:rPr>
      <w:rFonts w:ascii="Arial" w:hAnsi="Arial"/>
      <w:bCs w:val="0"/>
      <w:i/>
      <w:caps/>
      <w:color w:val="FFFFFF"/>
      <w:sz w:val="20"/>
      <w:szCs w:val="20"/>
    </w:rPr>
  </w:style>
  <w:style w:type="paragraph" w:styleId="TM1">
    <w:name w:val="toc 1"/>
    <w:basedOn w:val="Normal"/>
    <w:next w:val="Normal"/>
    <w:autoRedefine/>
    <w:uiPriority w:val="39"/>
    <w:rsid w:val="00FC2D78"/>
    <w:pPr>
      <w:spacing w:before="120" w:after="120"/>
    </w:pPr>
    <w:rPr>
      <w:rFonts w:asciiTheme="minorHAnsi" w:hAnsiTheme="minorHAnsi" w:cstheme="minorHAnsi"/>
      <w:b/>
      <w:bCs/>
      <w:caps/>
      <w:sz w:val="20"/>
      <w:szCs w:val="20"/>
    </w:rPr>
  </w:style>
  <w:style w:type="paragraph" w:styleId="TM2">
    <w:name w:val="toc 2"/>
    <w:basedOn w:val="Normal"/>
    <w:next w:val="Normal"/>
    <w:autoRedefine/>
    <w:uiPriority w:val="39"/>
    <w:rsid w:val="00990C00"/>
    <w:pPr>
      <w:tabs>
        <w:tab w:val="left" w:pos="960"/>
        <w:tab w:val="right" w:leader="dot" w:pos="8921"/>
      </w:tabs>
      <w:ind w:left="240"/>
    </w:pPr>
    <w:rPr>
      <w:rFonts w:asciiTheme="minorHAnsi" w:hAnsiTheme="minorHAnsi" w:cstheme="minorHAnsi"/>
      <w:smallCaps/>
      <w:sz w:val="20"/>
      <w:szCs w:val="20"/>
    </w:rPr>
  </w:style>
  <w:style w:type="paragraph" w:styleId="TM3">
    <w:name w:val="toc 3"/>
    <w:basedOn w:val="Normal"/>
    <w:next w:val="Normal"/>
    <w:autoRedefine/>
    <w:uiPriority w:val="39"/>
    <w:rsid w:val="00580411"/>
    <w:pPr>
      <w:tabs>
        <w:tab w:val="left" w:pos="1440"/>
        <w:tab w:val="right" w:leader="dot" w:pos="9629"/>
      </w:tabs>
      <w:ind w:left="480"/>
    </w:pPr>
    <w:rPr>
      <w:rFonts w:asciiTheme="minorHAnsi" w:hAnsiTheme="minorHAnsi" w:cstheme="minorHAnsi"/>
      <w:i/>
      <w:iCs/>
      <w:sz w:val="20"/>
      <w:szCs w:val="20"/>
    </w:rPr>
  </w:style>
  <w:style w:type="character" w:customStyle="1" w:styleId="Titre1Car">
    <w:name w:val="Titre 1 Car"/>
    <w:rsid w:val="00F53B71"/>
    <w:rPr>
      <w:rFonts w:ascii="Cambria" w:eastAsia="Times New Roman" w:hAnsi="Cambria" w:cs="Times New Roman"/>
      <w:b/>
      <w:bCs/>
      <w:color w:val="365F91"/>
      <w:sz w:val="28"/>
      <w:szCs w:val="28"/>
      <w:lang w:eastAsia="fr-FR"/>
    </w:rPr>
  </w:style>
  <w:style w:type="paragraph" w:customStyle="1" w:styleId="Titrecadre">
    <w:name w:val="Titre cadre"/>
    <w:basedOn w:val="Normal"/>
    <w:next w:val="Normal"/>
    <w:rsid w:val="00F53B71"/>
    <w:pPr>
      <w:pBdr>
        <w:top w:val="single" w:sz="6" w:space="1" w:color="auto"/>
        <w:left w:val="single" w:sz="6" w:space="1" w:color="auto"/>
        <w:bottom w:val="single" w:sz="24" w:space="1" w:color="auto"/>
        <w:right w:val="single" w:sz="18" w:space="1" w:color="auto"/>
      </w:pBdr>
      <w:spacing w:before="1680" w:after="720"/>
      <w:jc w:val="center"/>
    </w:pPr>
    <w:rPr>
      <w:rFonts w:ascii="Univers" w:hAnsi="Univers"/>
      <w:b/>
      <w:sz w:val="28"/>
    </w:rPr>
  </w:style>
  <w:style w:type="paragraph" w:customStyle="1" w:styleId="P2">
    <w:name w:val="P2"/>
    <w:basedOn w:val="standard"/>
    <w:rsid w:val="00F53B71"/>
    <w:pPr>
      <w:ind w:left="1134"/>
    </w:pPr>
  </w:style>
  <w:style w:type="paragraph" w:customStyle="1" w:styleId="PStandard">
    <w:name w:val="P Standard"/>
    <w:basedOn w:val="Normal"/>
    <w:autoRedefine/>
    <w:rsid w:val="003B06E2"/>
    <w:pPr>
      <w:spacing w:line="276" w:lineRule="auto"/>
      <w:jc w:val="both"/>
    </w:pPr>
  </w:style>
  <w:style w:type="paragraph" w:styleId="En-tte">
    <w:name w:val="header"/>
    <w:basedOn w:val="Normal"/>
    <w:unhideWhenUsed/>
    <w:rsid w:val="00F53B71"/>
    <w:pPr>
      <w:tabs>
        <w:tab w:val="center" w:pos="4536"/>
        <w:tab w:val="right" w:pos="9072"/>
      </w:tabs>
    </w:pPr>
  </w:style>
  <w:style w:type="character" w:customStyle="1" w:styleId="En-tteCar">
    <w:name w:val="En-tête Car"/>
    <w:rsid w:val="00F53B71"/>
    <w:rPr>
      <w:rFonts w:ascii="Arial" w:eastAsia="Times New Roman" w:hAnsi="Arial" w:cs="Times New Roman"/>
      <w:sz w:val="20"/>
      <w:szCs w:val="20"/>
      <w:lang w:eastAsia="fr-FR"/>
    </w:rPr>
  </w:style>
  <w:style w:type="paragraph" w:customStyle="1" w:styleId="StyleP3Arial10ptAprs6pt">
    <w:name w:val="Style P3 + Arial 10 pt Après : 6 pt"/>
    <w:basedOn w:val="Normal"/>
    <w:rsid w:val="00F53B71"/>
    <w:pPr>
      <w:numPr>
        <w:numId w:val="2"/>
      </w:numPr>
    </w:pPr>
  </w:style>
  <w:style w:type="character" w:styleId="Marquedecommentaire">
    <w:name w:val="annotation reference"/>
    <w:uiPriority w:val="99"/>
    <w:unhideWhenUsed/>
    <w:rsid w:val="00F53B71"/>
    <w:rPr>
      <w:sz w:val="16"/>
      <w:szCs w:val="16"/>
    </w:rPr>
  </w:style>
  <w:style w:type="paragraph" w:styleId="Commentaire">
    <w:name w:val="annotation text"/>
    <w:basedOn w:val="Normal"/>
    <w:uiPriority w:val="99"/>
    <w:unhideWhenUsed/>
    <w:rsid w:val="00F53B71"/>
  </w:style>
  <w:style w:type="character" w:customStyle="1" w:styleId="CommentaireCar">
    <w:name w:val="Commentaire Car"/>
    <w:uiPriority w:val="99"/>
    <w:rsid w:val="00F53B71"/>
    <w:rPr>
      <w:rFonts w:ascii="Arial" w:eastAsia="Times New Roman" w:hAnsi="Arial"/>
    </w:rPr>
  </w:style>
  <w:style w:type="paragraph" w:styleId="Objetducommentaire">
    <w:name w:val="annotation subject"/>
    <w:basedOn w:val="Commentaire"/>
    <w:next w:val="Commentaire"/>
    <w:semiHidden/>
    <w:unhideWhenUsed/>
    <w:rsid w:val="00F53B71"/>
    <w:rPr>
      <w:b/>
      <w:bCs/>
    </w:rPr>
  </w:style>
  <w:style w:type="character" w:customStyle="1" w:styleId="ObjetducommentaireCar">
    <w:name w:val="Objet du commentaire Car"/>
    <w:semiHidden/>
    <w:rsid w:val="00F53B71"/>
    <w:rPr>
      <w:rFonts w:ascii="Arial" w:eastAsia="Times New Roman" w:hAnsi="Arial"/>
      <w:b/>
      <w:bCs/>
    </w:rPr>
  </w:style>
  <w:style w:type="paragraph" w:styleId="Textedebulles">
    <w:name w:val="Balloon Text"/>
    <w:basedOn w:val="Normal"/>
    <w:semiHidden/>
    <w:unhideWhenUsed/>
    <w:rsid w:val="00F53B71"/>
    <w:rPr>
      <w:rFonts w:ascii="Tahoma" w:hAnsi="Tahoma" w:cs="Tahoma"/>
      <w:sz w:val="16"/>
      <w:szCs w:val="16"/>
    </w:rPr>
  </w:style>
  <w:style w:type="character" w:customStyle="1" w:styleId="TextedebullesCar">
    <w:name w:val="Texte de bulles Car"/>
    <w:semiHidden/>
    <w:rsid w:val="00F53B71"/>
    <w:rPr>
      <w:rFonts w:ascii="Tahoma" w:eastAsia="Times New Roman" w:hAnsi="Tahoma" w:cs="Tahoma"/>
      <w:sz w:val="16"/>
      <w:szCs w:val="16"/>
    </w:rPr>
  </w:style>
  <w:style w:type="paragraph" w:customStyle="1" w:styleId="Stylepuces">
    <w:name w:val="Style puces"/>
    <w:basedOn w:val="Normal"/>
    <w:rsid w:val="00F53B71"/>
    <w:pPr>
      <w:numPr>
        <w:numId w:val="3"/>
      </w:numPr>
      <w:suppressAutoHyphens/>
    </w:pPr>
    <w:rPr>
      <w:bCs/>
      <w:lang w:eastAsia="ar-SA"/>
    </w:rPr>
  </w:style>
  <w:style w:type="paragraph" w:styleId="Paragraphedeliste">
    <w:name w:val="List Paragraph"/>
    <w:aliases w:val="Paragraphe de liste1,Liste niveau 1,Paragraphe de liste2,1st level - Bullet List Paragraph,6 pt paragraphe carré,Bullet EY,Bullet list,Legende,Lettre d'introduction,List L1,List Paragraph1,Listes,Normal bullet 2,Paragraph,Puce focus"/>
    <w:basedOn w:val="Normal"/>
    <w:link w:val="ParagraphedelisteCar"/>
    <w:uiPriority w:val="99"/>
    <w:qFormat/>
    <w:rsid w:val="00F53B71"/>
    <w:pPr>
      <w:ind w:left="720"/>
      <w:contextualSpacing/>
    </w:pPr>
  </w:style>
  <w:style w:type="character" w:customStyle="1" w:styleId="important">
    <w:name w:val="important"/>
    <w:rsid w:val="00F53B71"/>
    <w:rPr>
      <w:b/>
      <w:color w:val="333399"/>
    </w:rPr>
  </w:style>
  <w:style w:type="paragraph" w:styleId="Rvision">
    <w:name w:val="Revision"/>
    <w:hidden/>
    <w:uiPriority w:val="99"/>
    <w:semiHidden/>
    <w:rsid w:val="001A62FF"/>
    <w:rPr>
      <w:rFonts w:ascii="Arial" w:eastAsia="Times New Roman" w:hAnsi="Arial"/>
    </w:rPr>
  </w:style>
  <w:style w:type="paragraph" w:customStyle="1" w:styleId="Tiret">
    <w:name w:val="Tiret"/>
    <w:basedOn w:val="Normal"/>
    <w:rsid w:val="00F53B71"/>
    <w:pPr>
      <w:tabs>
        <w:tab w:val="num" w:pos="360"/>
      </w:tabs>
      <w:spacing w:before="120"/>
      <w:ind w:left="357" w:hanging="357"/>
    </w:pPr>
    <w:rPr>
      <w:rFonts w:cs="Arial"/>
    </w:rPr>
  </w:style>
  <w:style w:type="paragraph" w:styleId="Corpsdetexte2">
    <w:name w:val="Body Text 2"/>
    <w:basedOn w:val="Normal"/>
    <w:semiHidden/>
    <w:rsid w:val="00F53B71"/>
    <w:pPr>
      <w:spacing w:line="480" w:lineRule="auto"/>
    </w:pPr>
  </w:style>
  <w:style w:type="character" w:customStyle="1" w:styleId="Corpsdetexte2Car">
    <w:name w:val="Corps de texte 2 Car"/>
    <w:rsid w:val="00F53B71"/>
    <w:rPr>
      <w:rFonts w:ascii="Arial" w:eastAsia="Times New Roman" w:hAnsi="Arial"/>
      <w:sz w:val="24"/>
      <w:szCs w:val="24"/>
    </w:rPr>
  </w:style>
  <w:style w:type="paragraph" w:styleId="TM4">
    <w:name w:val="toc 4"/>
    <w:basedOn w:val="Normal"/>
    <w:next w:val="Normal"/>
    <w:autoRedefine/>
    <w:uiPriority w:val="39"/>
    <w:unhideWhenUsed/>
    <w:rsid w:val="00610EE9"/>
    <w:pPr>
      <w:ind w:left="720"/>
    </w:pPr>
    <w:rPr>
      <w:rFonts w:asciiTheme="minorHAnsi" w:hAnsiTheme="minorHAnsi" w:cstheme="minorHAnsi"/>
      <w:sz w:val="18"/>
      <w:szCs w:val="18"/>
    </w:rPr>
  </w:style>
  <w:style w:type="paragraph" w:styleId="TM5">
    <w:name w:val="toc 5"/>
    <w:basedOn w:val="Normal"/>
    <w:next w:val="Normal"/>
    <w:autoRedefine/>
    <w:uiPriority w:val="39"/>
    <w:unhideWhenUsed/>
    <w:rsid w:val="00610EE9"/>
    <w:pPr>
      <w:ind w:left="960"/>
    </w:pPr>
    <w:rPr>
      <w:rFonts w:asciiTheme="minorHAnsi" w:hAnsiTheme="minorHAnsi" w:cstheme="minorHAnsi"/>
      <w:sz w:val="18"/>
      <w:szCs w:val="18"/>
    </w:rPr>
  </w:style>
  <w:style w:type="paragraph" w:styleId="TM6">
    <w:name w:val="toc 6"/>
    <w:basedOn w:val="Normal"/>
    <w:next w:val="Normal"/>
    <w:autoRedefine/>
    <w:uiPriority w:val="39"/>
    <w:unhideWhenUsed/>
    <w:rsid w:val="00610EE9"/>
    <w:pPr>
      <w:ind w:left="1200"/>
    </w:pPr>
    <w:rPr>
      <w:rFonts w:asciiTheme="minorHAnsi" w:hAnsiTheme="minorHAnsi" w:cstheme="minorHAnsi"/>
      <w:sz w:val="18"/>
      <w:szCs w:val="18"/>
    </w:rPr>
  </w:style>
  <w:style w:type="paragraph" w:styleId="TM7">
    <w:name w:val="toc 7"/>
    <w:basedOn w:val="Normal"/>
    <w:next w:val="Normal"/>
    <w:autoRedefine/>
    <w:uiPriority w:val="39"/>
    <w:unhideWhenUsed/>
    <w:rsid w:val="00610EE9"/>
    <w:pPr>
      <w:ind w:left="1440"/>
    </w:pPr>
    <w:rPr>
      <w:rFonts w:asciiTheme="minorHAnsi" w:hAnsiTheme="minorHAnsi" w:cstheme="minorHAnsi"/>
      <w:sz w:val="18"/>
      <w:szCs w:val="18"/>
    </w:rPr>
  </w:style>
  <w:style w:type="paragraph" w:styleId="TM8">
    <w:name w:val="toc 8"/>
    <w:basedOn w:val="Normal"/>
    <w:next w:val="Normal"/>
    <w:autoRedefine/>
    <w:uiPriority w:val="39"/>
    <w:unhideWhenUsed/>
    <w:rsid w:val="00610EE9"/>
    <w:pPr>
      <w:ind w:left="1680"/>
    </w:pPr>
    <w:rPr>
      <w:rFonts w:asciiTheme="minorHAnsi" w:hAnsiTheme="minorHAnsi" w:cstheme="minorHAnsi"/>
      <w:sz w:val="18"/>
      <w:szCs w:val="18"/>
    </w:rPr>
  </w:style>
  <w:style w:type="paragraph" w:styleId="TM9">
    <w:name w:val="toc 9"/>
    <w:basedOn w:val="Normal"/>
    <w:next w:val="Normal"/>
    <w:autoRedefine/>
    <w:uiPriority w:val="39"/>
    <w:unhideWhenUsed/>
    <w:rsid w:val="00610EE9"/>
    <w:pPr>
      <w:ind w:left="1920"/>
    </w:pPr>
    <w:rPr>
      <w:rFonts w:asciiTheme="minorHAnsi" w:hAnsiTheme="minorHAnsi" w:cstheme="minorHAnsi"/>
      <w:sz w:val="18"/>
      <w:szCs w:val="18"/>
    </w:rPr>
  </w:style>
  <w:style w:type="paragraph" w:customStyle="1" w:styleId="AdressePageDeGarde">
    <w:name w:val="AdressePageDeGarde"/>
    <w:basedOn w:val="Normal"/>
    <w:rsid w:val="00326744"/>
    <w:pPr>
      <w:jc w:val="center"/>
    </w:pPr>
    <w:rPr>
      <w:b/>
      <w:sz w:val="22"/>
    </w:rPr>
  </w:style>
  <w:style w:type="paragraph" w:customStyle="1" w:styleId="GuideNormal">
    <w:name w:val="Guide Normal"/>
    <w:basedOn w:val="Normal"/>
    <w:rsid w:val="00326744"/>
    <w:pPr>
      <w:spacing w:before="120" w:line="240" w:lineRule="atLeast"/>
    </w:pPr>
    <w:rPr>
      <w:rFonts w:ascii="Palatino" w:hAnsi="Palatino"/>
    </w:rPr>
  </w:style>
  <w:style w:type="table" w:styleId="Grilledutableau">
    <w:name w:val="Table Grid"/>
    <w:basedOn w:val="TableauNormal"/>
    <w:uiPriority w:val="59"/>
    <w:rsid w:val="00C421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Policepardfaut"/>
    <w:rsid w:val="00A31D50"/>
  </w:style>
  <w:style w:type="paragraph" w:styleId="NormalWeb">
    <w:name w:val="Normal (Web)"/>
    <w:basedOn w:val="Normal"/>
    <w:uiPriority w:val="99"/>
    <w:unhideWhenUsed/>
    <w:rsid w:val="00034EEB"/>
    <w:pPr>
      <w:spacing w:before="100" w:beforeAutospacing="1" w:after="100" w:afterAutospacing="1"/>
    </w:pPr>
  </w:style>
  <w:style w:type="paragraph" w:styleId="En-ttedetabledesmatires">
    <w:name w:val="TOC Heading"/>
    <w:basedOn w:val="Titre1"/>
    <w:next w:val="Normal"/>
    <w:uiPriority w:val="39"/>
    <w:unhideWhenUsed/>
    <w:qFormat/>
    <w:rsid w:val="00FE555C"/>
    <w:pPr>
      <w:spacing w:line="276" w:lineRule="auto"/>
      <w:outlineLvl w:val="9"/>
    </w:pPr>
    <w:rPr>
      <w:rFonts w:asciiTheme="majorHAnsi" w:eastAsiaTheme="majorEastAsia" w:hAnsiTheme="majorHAnsi" w:cstheme="majorBidi"/>
      <w:color w:val="365F91" w:themeColor="accent1" w:themeShade="BF"/>
    </w:rPr>
  </w:style>
  <w:style w:type="character" w:customStyle="1" w:styleId="ParagraphedelisteCar">
    <w:name w:val="Paragraphe de liste Car"/>
    <w:aliases w:val="Paragraphe de liste1 Car,Liste niveau 1 Car,Paragraphe de liste2 Car,1st level - Bullet List Paragraph Car,6 pt paragraphe carré Car,Bullet EY Car,Bullet list Car,Legende Car,Lettre d'introduction Car,List L1 Car,Listes Car"/>
    <w:basedOn w:val="Policepardfaut"/>
    <w:link w:val="Paragraphedeliste"/>
    <w:uiPriority w:val="99"/>
    <w:qFormat/>
    <w:rsid w:val="00626A52"/>
    <w:rPr>
      <w:rFonts w:ascii="Times New Roman" w:eastAsia="Times New Roman" w:hAnsi="Times New Roman"/>
      <w:sz w:val="24"/>
      <w:szCs w:val="24"/>
    </w:rPr>
  </w:style>
  <w:style w:type="character" w:styleId="Accentuation">
    <w:name w:val="Emphasis"/>
    <w:basedOn w:val="Policepardfaut"/>
    <w:uiPriority w:val="20"/>
    <w:qFormat/>
    <w:rsid w:val="008F25F8"/>
    <w:rPr>
      <w:i/>
      <w:iCs/>
    </w:rPr>
  </w:style>
  <w:style w:type="character" w:styleId="lev">
    <w:name w:val="Strong"/>
    <w:basedOn w:val="Policepardfaut"/>
    <w:uiPriority w:val="22"/>
    <w:qFormat/>
    <w:rsid w:val="008F25F8"/>
    <w:rPr>
      <w:b/>
      <w:bCs/>
    </w:rPr>
  </w:style>
  <w:style w:type="table" w:customStyle="1" w:styleId="Grilledutableau1">
    <w:name w:val="Grille du tableau1"/>
    <w:basedOn w:val="TableauNormal"/>
    <w:next w:val="Grilledutableau"/>
    <w:rsid w:val="000601A4"/>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PS-6-textecourant">
    <w:name w:val="CPS-6-texte courant"/>
    <w:basedOn w:val="Normal"/>
    <w:qFormat/>
    <w:rsid w:val="00A303AD"/>
    <w:pPr>
      <w:spacing w:before="240" w:line="240" w:lineRule="exact"/>
      <w:contextualSpacing/>
      <w:jc w:val="both"/>
    </w:pPr>
    <w:rPr>
      <w:rFonts w:ascii="Arial" w:eastAsia="MS Mincho" w:hAnsi="Arial"/>
      <w:sz w:val="19"/>
      <w:szCs w:val="19"/>
    </w:rPr>
  </w:style>
  <w:style w:type="paragraph" w:customStyle="1" w:styleId="CPS-4-titreniv4">
    <w:name w:val="CPS-4-titre niv4"/>
    <w:basedOn w:val="Titre4"/>
    <w:qFormat/>
    <w:rsid w:val="00684338"/>
    <w:pPr>
      <w:spacing w:before="240" w:after="60" w:line="240" w:lineRule="exact"/>
      <w:ind w:left="1728" w:hanging="1008"/>
      <w:jc w:val="both"/>
    </w:pPr>
    <w:rPr>
      <w:rFonts w:ascii="Open Sans" w:hAnsi="Open Sans" w:cs="Open Sans"/>
      <w:bCs w:val="0"/>
      <w:color w:val="auto"/>
      <w:sz w:val="20"/>
      <w:szCs w:val="19"/>
      <w:lang w:eastAsia="en-US"/>
    </w:rPr>
  </w:style>
  <w:style w:type="paragraph" w:customStyle="1" w:styleId="CPS-2-titreniv2">
    <w:name w:val="CPS-2-titre niv2"/>
    <w:basedOn w:val="Normal"/>
    <w:qFormat/>
    <w:rsid w:val="00684338"/>
    <w:pPr>
      <w:spacing w:before="240" w:line="240" w:lineRule="exact"/>
      <w:ind w:left="792" w:hanging="432"/>
      <w:jc w:val="both"/>
    </w:pPr>
    <w:rPr>
      <w:rFonts w:ascii="Open Sans" w:hAnsi="Open Sans"/>
      <w:b/>
      <w:bCs/>
      <w:szCs w:val="27"/>
    </w:rPr>
  </w:style>
  <w:style w:type="paragraph" w:customStyle="1" w:styleId="ParagrapheUPSaclay">
    <w:name w:val="Paragraphe UPSaclay"/>
    <w:basedOn w:val="Normal"/>
    <w:link w:val="ParagrapheUPSaclayCar"/>
    <w:qFormat/>
    <w:rsid w:val="00684338"/>
    <w:pPr>
      <w:widowControl w:val="0"/>
      <w:autoSpaceDE w:val="0"/>
      <w:autoSpaceDN w:val="0"/>
      <w:jc w:val="both"/>
    </w:pPr>
    <w:rPr>
      <w:rFonts w:ascii="Open Sans" w:eastAsia="Open Sans" w:hAnsi="Open Sans" w:cs="OpenSans"/>
      <w:sz w:val="20"/>
      <w:szCs w:val="20"/>
      <w:lang w:eastAsia="en-US" w:bidi="en-US"/>
    </w:rPr>
  </w:style>
  <w:style w:type="character" w:customStyle="1" w:styleId="ParagrapheUPSaclayCar">
    <w:name w:val="Paragraphe UPSaclay Car"/>
    <w:basedOn w:val="Policepardfaut"/>
    <w:link w:val="ParagrapheUPSaclay"/>
    <w:rsid w:val="00684338"/>
    <w:rPr>
      <w:rFonts w:ascii="Open Sans" w:eastAsia="Open Sans" w:hAnsi="Open Sans" w:cs="OpenSans"/>
      <w:lang w:eastAsia="en-US" w:bidi="en-US"/>
    </w:rPr>
  </w:style>
  <w:style w:type="paragraph" w:customStyle="1" w:styleId="aprsT1">
    <w:name w:val="après T1"/>
    <w:basedOn w:val="Normal"/>
    <w:link w:val="aprsT1Car"/>
    <w:qFormat/>
    <w:rsid w:val="00684338"/>
    <w:pPr>
      <w:tabs>
        <w:tab w:val="left" w:pos="1134"/>
        <w:tab w:val="left" w:pos="1701"/>
        <w:tab w:val="left" w:pos="2268"/>
        <w:tab w:val="left" w:pos="2835"/>
      </w:tabs>
      <w:spacing w:after="100"/>
      <w:jc w:val="both"/>
    </w:pPr>
    <w:rPr>
      <w:rFonts w:ascii="Roboto Light" w:hAnsi="Roboto Light"/>
      <w:sz w:val="20"/>
      <w:lang w:eastAsia="en-US"/>
    </w:rPr>
  </w:style>
  <w:style w:type="character" w:customStyle="1" w:styleId="aprsT1Car">
    <w:name w:val="après T1 Car"/>
    <w:basedOn w:val="Policepardfaut"/>
    <w:link w:val="aprsT1"/>
    <w:rsid w:val="00684338"/>
    <w:rPr>
      <w:rFonts w:ascii="Roboto Light" w:eastAsia="Times New Roman" w:hAnsi="Roboto Light"/>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427430">
      <w:bodyDiv w:val="1"/>
      <w:marLeft w:val="0"/>
      <w:marRight w:val="0"/>
      <w:marTop w:val="0"/>
      <w:marBottom w:val="0"/>
      <w:divBdr>
        <w:top w:val="none" w:sz="0" w:space="0" w:color="auto"/>
        <w:left w:val="none" w:sz="0" w:space="0" w:color="auto"/>
        <w:bottom w:val="none" w:sz="0" w:space="0" w:color="auto"/>
        <w:right w:val="none" w:sz="0" w:space="0" w:color="auto"/>
      </w:divBdr>
      <w:divsChild>
        <w:div w:id="1639065776">
          <w:marLeft w:val="0"/>
          <w:marRight w:val="0"/>
          <w:marTop w:val="0"/>
          <w:marBottom w:val="0"/>
          <w:divBdr>
            <w:top w:val="none" w:sz="0" w:space="0" w:color="auto"/>
            <w:left w:val="none" w:sz="0" w:space="0" w:color="auto"/>
            <w:bottom w:val="none" w:sz="0" w:space="0" w:color="auto"/>
            <w:right w:val="none" w:sz="0" w:space="0" w:color="auto"/>
          </w:divBdr>
          <w:divsChild>
            <w:div w:id="1230188376">
              <w:marLeft w:val="0"/>
              <w:marRight w:val="0"/>
              <w:marTop w:val="0"/>
              <w:marBottom w:val="0"/>
              <w:divBdr>
                <w:top w:val="none" w:sz="0" w:space="0" w:color="auto"/>
                <w:left w:val="none" w:sz="0" w:space="0" w:color="auto"/>
                <w:bottom w:val="none" w:sz="0" w:space="0" w:color="auto"/>
                <w:right w:val="none" w:sz="0" w:space="0" w:color="auto"/>
              </w:divBdr>
              <w:divsChild>
                <w:div w:id="205262677">
                  <w:marLeft w:val="0"/>
                  <w:marRight w:val="0"/>
                  <w:marTop w:val="0"/>
                  <w:marBottom w:val="0"/>
                  <w:divBdr>
                    <w:top w:val="none" w:sz="0" w:space="0" w:color="auto"/>
                    <w:left w:val="none" w:sz="0" w:space="0" w:color="auto"/>
                    <w:bottom w:val="none" w:sz="0" w:space="0" w:color="auto"/>
                    <w:right w:val="none" w:sz="0" w:space="0" w:color="auto"/>
                  </w:divBdr>
                  <w:divsChild>
                    <w:div w:id="4130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076397">
      <w:bodyDiv w:val="1"/>
      <w:marLeft w:val="0"/>
      <w:marRight w:val="0"/>
      <w:marTop w:val="0"/>
      <w:marBottom w:val="0"/>
      <w:divBdr>
        <w:top w:val="none" w:sz="0" w:space="0" w:color="auto"/>
        <w:left w:val="none" w:sz="0" w:space="0" w:color="auto"/>
        <w:bottom w:val="none" w:sz="0" w:space="0" w:color="auto"/>
        <w:right w:val="none" w:sz="0" w:space="0" w:color="auto"/>
      </w:divBdr>
      <w:divsChild>
        <w:div w:id="702024735">
          <w:marLeft w:val="0"/>
          <w:marRight w:val="0"/>
          <w:marTop w:val="0"/>
          <w:marBottom w:val="0"/>
          <w:divBdr>
            <w:top w:val="none" w:sz="0" w:space="0" w:color="auto"/>
            <w:left w:val="none" w:sz="0" w:space="0" w:color="auto"/>
            <w:bottom w:val="none" w:sz="0" w:space="0" w:color="auto"/>
            <w:right w:val="none" w:sz="0" w:space="0" w:color="auto"/>
          </w:divBdr>
          <w:divsChild>
            <w:div w:id="786435497">
              <w:marLeft w:val="0"/>
              <w:marRight w:val="0"/>
              <w:marTop w:val="0"/>
              <w:marBottom w:val="0"/>
              <w:divBdr>
                <w:top w:val="none" w:sz="0" w:space="0" w:color="auto"/>
                <w:left w:val="none" w:sz="0" w:space="0" w:color="auto"/>
                <w:bottom w:val="none" w:sz="0" w:space="0" w:color="auto"/>
                <w:right w:val="none" w:sz="0" w:space="0" w:color="auto"/>
              </w:divBdr>
              <w:divsChild>
                <w:div w:id="734278731">
                  <w:marLeft w:val="0"/>
                  <w:marRight w:val="0"/>
                  <w:marTop w:val="0"/>
                  <w:marBottom w:val="0"/>
                  <w:divBdr>
                    <w:top w:val="none" w:sz="0" w:space="0" w:color="auto"/>
                    <w:left w:val="none" w:sz="0" w:space="0" w:color="auto"/>
                    <w:bottom w:val="none" w:sz="0" w:space="0" w:color="auto"/>
                    <w:right w:val="none" w:sz="0" w:space="0" w:color="auto"/>
                  </w:divBdr>
                  <w:divsChild>
                    <w:div w:id="425153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805439">
      <w:bodyDiv w:val="1"/>
      <w:marLeft w:val="0"/>
      <w:marRight w:val="0"/>
      <w:marTop w:val="0"/>
      <w:marBottom w:val="0"/>
      <w:divBdr>
        <w:top w:val="none" w:sz="0" w:space="0" w:color="auto"/>
        <w:left w:val="none" w:sz="0" w:space="0" w:color="auto"/>
        <w:bottom w:val="none" w:sz="0" w:space="0" w:color="auto"/>
        <w:right w:val="none" w:sz="0" w:space="0" w:color="auto"/>
      </w:divBdr>
    </w:div>
    <w:div w:id="203755068">
      <w:bodyDiv w:val="1"/>
      <w:marLeft w:val="0"/>
      <w:marRight w:val="0"/>
      <w:marTop w:val="0"/>
      <w:marBottom w:val="0"/>
      <w:divBdr>
        <w:top w:val="none" w:sz="0" w:space="0" w:color="auto"/>
        <w:left w:val="none" w:sz="0" w:space="0" w:color="auto"/>
        <w:bottom w:val="none" w:sz="0" w:space="0" w:color="auto"/>
        <w:right w:val="none" w:sz="0" w:space="0" w:color="auto"/>
      </w:divBdr>
    </w:div>
    <w:div w:id="223372883">
      <w:bodyDiv w:val="1"/>
      <w:marLeft w:val="0"/>
      <w:marRight w:val="0"/>
      <w:marTop w:val="0"/>
      <w:marBottom w:val="0"/>
      <w:divBdr>
        <w:top w:val="none" w:sz="0" w:space="0" w:color="auto"/>
        <w:left w:val="none" w:sz="0" w:space="0" w:color="auto"/>
        <w:bottom w:val="none" w:sz="0" w:space="0" w:color="auto"/>
        <w:right w:val="none" w:sz="0" w:space="0" w:color="auto"/>
      </w:divBdr>
    </w:div>
    <w:div w:id="238255999">
      <w:bodyDiv w:val="1"/>
      <w:marLeft w:val="0"/>
      <w:marRight w:val="0"/>
      <w:marTop w:val="0"/>
      <w:marBottom w:val="0"/>
      <w:divBdr>
        <w:top w:val="none" w:sz="0" w:space="0" w:color="auto"/>
        <w:left w:val="none" w:sz="0" w:space="0" w:color="auto"/>
        <w:bottom w:val="none" w:sz="0" w:space="0" w:color="auto"/>
        <w:right w:val="none" w:sz="0" w:space="0" w:color="auto"/>
      </w:divBdr>
    </w:div>
    <w:div w:id="408307096">
      <w:bodyDiv w:val="1"/>
      <w:marLeft w:val="0"/>
      <w:marRight w:val="0"/>
      <w:marTop w:val="0"/>
      <w:marBottom w:val="0"/>
      <w:divBdr>
        <w:top w:val="none" w:sz="0" w:space="0" w:color="auto"/>
        <w:left w:val="none" w:sz="0" w:space="0" w:color="auto"/>
        <w:bottom w:val="none" w:sz="0" w:space="0" w:color="auto"/>
        <w:right w:val="none" w:sz="0" w:space="0" w:color="auto"/>
      </w:divBdr>
    </w:div>
    <w:div w:id="423452810">
      <w:bodyDiv w:val="1"/>
      <w:marLeft w:val="0"/>
      <w:marRight w:val="0"/>
      <w:marTop w:val="0"/>
      <w:marBottom w:val="0"/>
      <w:divBdr>
        <w:top w:val="none" w:sz="0" w:space="0" w:color="auto"/>
        <w:left w:val="none" w:sz="0" w:space="0" w:color="auto"/>
        <w:bottom w:val="none" w:sz="0" w:space="0" w:color="auto"/>
        <w:right w:val="none" w:sz="0" w:space="0" w:color="auto"/>
      </w:divBdr>
    </w:div>
    <w:div w:id="603927333">
      <w:bodyDiv w:val="1"/>
      <w:marLeft w:val="0"/>
      <w:marRight w:val="0"/>
      <w:marTop w:val="0"/>
      <w:marBottom w:val="0"/>
      <w:divBdr>
        <w:top w:val="none" w:sz="0" w:space="0" w:color="auto"/>
        <w:left w:val="none" w:sz="0" w:space="0" w:color="auto"/>
        <w:bottom w:val="none" w:sz="0" w:space="0" w:color="auto"/>
        <w:right w:val="none" w:sz="0" w:space="0" w:color="auto"/>
      </w:divBdr>
      <w:divsChild>
        <w:div w:id="471603579">
          <w:marLeft w:val="0"/>
          <w:marRight w:val="0"/>
          <w:marTop w:val="0"/>
          <w:marBottom w:val="0"/>
          <w:divBdr>
            <w:top w:val="none" w:sz="0" w:space="0" w:color="auto"/>
            <w:left w:val="none" w:sz="0" w:space="0" w:color="auto"/>
            <w:bottom w:val="none" w:sz="0" w:space="0" w:color="auto"/>
            <w:right w:val="none" w:sz="0" w:space="0" w:color="auto"/>
          </w:divBdr>
          <w:divsChild>
            <w:div w:id="1589344639">
              <w:marLeft w:val="0"/>
              <w:marRight w:val="0"/>
              <w:marTop w:val="0"/>
              <w:marBottom w:val="0"/>
              <w:divBdr>
                <w:top w:val="none" w:sz="0" w:space="0" w:color="auto"/>
                <w:left w:val="none" w:sz="0" w:space="0" w:color="auto"/>
                <w:bottom w:val="none" w:sz="0" w:space="0" w:color="auto"/>
                <w:right w:val="none" w:sz="0" w:space="0" w:color="auto"/>
              </w:divBdr>
              <w:divsChild>
                <w:div w:id="672681812">
                  <w:marLeft w:val="0"/>
                  <w:marRight w:val="0"/>
                  <w:marTop w:val="0"/>
                  <w:marBottom w:val="0"/>
                  <w:divBdr>
                    <w:top w:val="none" w:sz="0" w:space="0" w:color="auto"/>
                    <w:left w:val="none" w:sz="0" w:space="0" w:color="auto"/>
                    <w:bottom w:val="none" w:sz="0" w:space="0" w:color="auto"/>
                    <w:right w:val="none" w:sz="0" w:space="0" w:color="auto"/>
                  </w:divBdr>
                  <w:divsChild>
                    <w:div w:id="1300261576">
                      <w:marLeft w:val="0"/>
                      <w:marRight w:val="0"/>
                      <w:marTop w:val="0"/>
                      <w:marBottom w:val="0"/>
                      <w:divBdr>
                        <w:top w:val="none" w:sz="0" w:space="0" w:color="auto"/>
                        <w:left w:val="none" w:sz="0" w:space="0" w:color="auto"/>
                        <w:bottom w:val="none" w:sz="0" w:space="0" w:color="auto"/>
                        <w:right w:val="none" w:sz="0" w:space="0" w:color="auto"/>
                      </w:divBdr>
                      <w:divsChild>
                        <w:div w:id="198014806">
                          <w:marLeft w:val="0"/>
                          <w:marRight w:val="0"/>
                          <w:marTop w:val="0"/>
                          <w:marBottom w:val="0"/>
                          <w:divBdr>
                            <w:top w:val="none" w:sz="0" w:space="0" w:color="auto"/>
                            <w:left w:val="none" w:sz="0" w:space="0" w:color="auto"/>
                            <w:bottom w:val="none" w:sz="0" w:space="0" w:color="auto"/>
                            <w:right w:val="none" w:sz="0" w:space="0" w:color="auto"/>
                          </w:divBdr>
                          <w:divsChild>
                            <w:div w:id="1261838098">
                              <w:marLeft w:val="0"/>
                              <w:marRight w:val="0"/>
                              <w:marTop w:val="0"/>
                              <w:marBottom w:val="0"/>
                              <w:divBdr>
                                <w:top w:val="none" w:sz="0" w:space="0" w:color="auto"/>
                                <w:left w:val="none" w:sz="0" w:space="0" w:color="auto"/>
                                <w:bottom w:val="none" w:sz="0" w:space="0" w:color="auto"/>
                                <w:right w:val="none" w:sz="0" w:space="0" w:color="auto"/>
                              </w:divBdr>
                              <w:divsChild>
                                <w:div w:id="1236470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97319015">
      <w:bodyDiv w:val="1"/>
      <w:marLeft w:val="0"/>
      <w:marRight w:val="0"/>
      <w:marTop w:val="0"/>
      <w:marBottom w:val="0"/>
      <w:divBdr>
        <w:top w:val="none" w:sz="0" w:space="0" w:color="auto"/>
        <w:left w:val="none" w:sz="0" w:space="0" w:color="auto"/>
        <w:bottom w:val="none" w:sz="0" w:space="0" w:color="auto"/>
        <w:right w:val="none" w:sz="0" w:space="0" w:color="auto"/>
      </w:divBdr>
    </w:div>
    <w:div w:id="793476543">
      <w:bodyDiv w:val="1"/>
      <w:marLeft w:val="0"/>
      <w:marRight w:val="0"/>
      <w:marTop w:val="0"/>
      <w:marBottom w:val="0"/>
      <w:divBdr>
        <w:top w:val="none" w:sz="0" w:space="0" w:color="auto"/>
        <w:left w:val="none" w:sz="0" w:space="0" w:color="auto"/>
        <w:bottom w:val="none" w:sz="0" w:space="0" w:color="auto"/>
        <w:right w:val="none" w:sz="0" w:space="0" w:color="auto"/>
      </w:divBdr>
      <w:divsChild>
        <w:div w:id="807547842">
          <w:marLeft w:val="0"/>
          <w:marRight w:val="0"/>
          <w:marTop w:val="0"/>
          <w:marBottom w:val="0"/>
          <w:divBdr>
            <w:top w:val="none" w:sz="0" w:space="0" w:color="auto"/>
            <w:left w:val="none" w:sz="0" w:space="0" w:color="auto"/>
            <w:bottom w:val="none" w:sz="0" w:space="0" w:color="auto"/>
            <w:right w:val="none" w:sz="0" w:space="0" w:color="auto"/>
          </w:divBdr>
        </w:div>
      </w:divsChild>
    </w:div>
    <w:div w:id="904680547">
      <w:bodyDiv w:val="1"/>
      <w:marLeft w:val="0"/>
      <w:marRight w:val="0"/>
      <w:marTop w:val="0"/>
      <w:marBottom w:val="0"/>
      <w:divBdr>
        <w:top w:val="none" w:sz="0" w:space="0" w:color="auto"/>
        <w:left w:val="none" w:sz="0" w:space="0" w:color="auto"/>
        <w:bottom w:val="none" w:sz="0" w:space="0" w:color="auto"/>
        <w:right w:val="none" w:sz="0" w:space="0" w:color="auto"/>
      </w:divBdr>
    </w:div>
    <w:div w:id="940991473">
      <w:bodyDiv w:val="1"/>
      <w:marLeft w:val="0"/>
      <w:marRight w:val="0"/>
      <w:marTop w:val="0"/>
      <w:marBottom w:val="0"/>
      <w:divBdr>
        <w:top w:val="none" w:sz="0" w:space="0" w:color="auto"/>
        <w:left w:val="none" w:sz="0" w:space="0" w:color="auto"/>
        <w:bottom w:val="none" w:sz="0" w:space="0" w:color="auto"/>
        <w:right w:val="none" w:sz="0" w:space="0" w:color="auto"/>
      </w:divBdr>
    </w:div>
    <w:div w:id="946693117">
      <w:bodyDiv w:val="1"/>
      <w:marLeft w:val="0"/>
      <w:marRight w:val="0"/>
      <w:marTop w:val="0"/>
      <w:marBottom w:val="0"/>
      <w:divBdr>
        <w:top w:val="none" w:sz="0" w:space="0" w:color="auto"/>
        <w:left w:val="none" w:sz="0" w:space="0" w:color="auto"/>
        <w:bottom w:val="none" w:sz="0" w:space="0" w:color="auto"/>
        <w:right w:val="none" w:sz="0" w:space="0" w:color="auto"/>
      </w:divBdr>
    </w:div>
    <w:div w:id="962730582">
      <w:bodyDiv w:val="1"/>
      <w:marLeft w:val="0"/>
      <w:marRight w:val="0"/>
      <w:marTop w:val="0"/>
      <w:marBottom w:val="0"/>
      <w:divBdr>
        <w:top w:val="none" w:sz="0" w:space="0" w:color="auto"/>
        <w:left w:val="none" w:sz="0" w:space="0" w:color="auto"/>
        <w:bottom w:val="none" w:sz="0" w:space="0" w:color="auto"/>
        <w:right w:val="none" w:sz="0" w:space="0" w:color="auto"/>
      </w:divBdr>
    </w:div>
    <w:div w:id="1011951518">
      <w:bodyDiv w:val="1"/>
      <w:marLeft w:val="0"/>
      <w:marRight w:val="0"/>
      <w:marTop w:val="0"/>
      <w:marBottom w:val="0"/>
      <w:divBdr>
        <w:top w:val="none" w:sz="0" w:space="0" w:color="auto"/>
        <w:left w:val="none" w:sz="0" w:space="0" w:color="auto"/>
        <w:bottom w:val="none" w:sz="0" w:space="0" w:color="auto"/>
        <w:right w:val="none" w:sz="0" w:space="0" w:color="auto"/>
      </w:divBdr>
    </w:div>
    <w:div w:id="1088382632">
      <w:bodyDiv w:val="1"/>
      <w:marLeft w:val="0"/>
      <w:marRight w:val="0"/>
      <w:marTop w:val="0"/>
      <w:marBottom w:val="0"/>
      <w:divBdr>
        <w:top w:val="none" w:sz="0" w:space="0" w:color="auto"/>
        <w:left w:val="none" w:sz="0" w:space="0" w:color="auto"/>
        <w:bottom w:val="none" w:sz="0" w:space="0" w:color="auto"/>
        <w:right w:val="none" w:sz="0" w:space="0" w:color="auto"/>
      </w:divBdr>
    </w:div>
    <w:div w:id="1278176150">
      <w:bodyDiv w:val="1"/>
      <w:marLeft w:val="0"/>
      <w:marRight w:val="0"/>
      <w:marTop w:val="0"/>
      <w:marBottom w:val="0"/>
      <w:divBdr>
        <w:top w:val="none" w:sz="0" w:space="0" w:color="auto"/>
        <w:left w:val="none" w:sz="0" w:space="0" w:color="auto"/>
        <w:bottom w:val="none" w:sz="0" w:space="0" w:color="auto"/>
        <w:right w:val="none" w:sz="0" w:space="0" w:color="auto"/>
      </w:divBdr>
    </w:div>
    <w:div w:id="1338507472">
      <w:bodyDiv w:val="1"/>
      <w:marLeft w:val="0"/>
      <w:marRight w:val="0"/>
      <w:marTop w:val="0"/>
      <w:marBottom w:val="0"/>
      <w:divBdr>
        <w:top w:val="none" w:sz="0" w:space="0" w:color="auto"/>
        <w:left w:val="none" w:sz="0" w:space="0" w:color="auto"/>
        <w:bottom w:val="none" w:sz="0" w:space="0" w:color="auto"/>
        <w:right w:val="none" w:sz="0" w:space="0" w:color="auto"/>
      </w:divBdr>
    </w:div>
    <w:div w:id="1344934554">
      <w:bodyDiv w:val="1"/>
      <w:marLeft w:val="0"/>
      <w:marRight w:val="0"/>
      <w:marTop w:val="0"/>
      <w:marBottom w:val="0"/>
      <w:divBdr>
        <w:top w:val="none" w:sz="0" w:space="0" w:color="auto"/>
        <w:left w:val="none" w:sz="0" w:space="0" w:color="auto"/>
        <w:bottom w:val="none" w:sz="0" w:space="0" w:color="auto"/>
        <w:right w:val="none" w:sz="0" w:space="0" w:color="auto"/>
      </w:divBdr>
    </w:div>
    <w:div w:id="1386291947">
      <w:bodyDiv w:val="1"/>
      <w:marLeft w:val="0"/>
      <w:marRight w:val="0"/>
      <w:marTop w:val="0"/>
      <w:marBottom w:val="0"/>
      <w:divBdr>
        <w:top w:val="none" w:sz="0" w:space="0" w:color="auto"/>
        <w:left w:val="none" w:sz="0" w:space="0" w:color="auto"/>
        <w:bottom w:val="none" w:sz="0" w:space="0" w:color="auto"/>
        <w:right w:val="none" w:sz="0" w:space="0" w:color="auto"/>
      </w:divBdr>
    </w:div>
    <w:div w:id="1645113447">
      <w:bodyDiv w:val="1"/>
      <w:marLeft w:val="0"/>
      <w:marRight w:val="0"/>
      <w:marTop w:val="0"/>
      <w:marBottom w:val="0"/>
      <w:divBdr>
        <w:top w:val="none" w:sz="0" w:space="0" w:color="auto"/>
        <w:left w:val="none" w:sz="0" w:space="0" w:color="auto"/>
        <w:bottom w:val="none" w:sz="0" w:space="0" w:color="auto"/>
        <w:right w:val="none" w:sz="0" w:space="0" w:color="auto"/>
      </w:divBdr>
    </w:div>
    <w:div w:id="1715618007">
      <w:bodyDiv w:val="1"/>
      <w:marLeft w:val="0"/>
      <w:marRight w:val="0"/>
      <w:marTop w:val="0"/>
      <w:marBottom w:val="0"/>
      <w:divBdr>
        <w:top w:val="none" w:sz="0" w:space="0" w:color="auto"/>
        <w:left w:val="none" w:sz="0" w:space="0" w:color="auto"/>
        <w:bottom w:val="none" w:sz="0" w:space="0" w:color="auto"/>
        <w:right w:val="none" w:sz="0" w:space="0" w:color="auto"/>
      </w:divBdr>
    </w:div>
    <w:div w:id="1792824223">
      <w:bodyDiv w:val="1"/>
      <w:marLeft w:val="0"/>
      <w:marRight w:val="0"/>
      <w:marTop w:val="0"/>
      <w:marBottom w:val="0"/>
      <w:divBdr>
        <w:top w:val="none" w:sz="0" w:space="0" w:color="auto"/>
        <w:left w:val="none" w:sz="0" w:space="0" w:color="auto"/>
        <w:bottom w:val="none" w:sz="0" w:space="0" w:color="auto"/>
        <w:right w:val="none" w:sz="0" w:space="0" w:color="auto"/>
      </w:divBdr>
    </w:div>
    <w:div w:id="1813907868">
      <w:bodyDiv w:val="1"/>
      <w:marLeft w:val="0"/>
      <w:marRight w:val="0"/>
      <w:marTop w:val="0"/>
      <w:marBottom w:val="0"/>
      <w:divBdr>
        <w:top w:val="none" w:sz="0" w:space="0" w:color="auto"/>
        <w:left w:val="none" w:sz="0" w:space="0" w:color="auto"/>
        <w:bottom w:val="none" w:sz="0" w:space="0" w:color="auto"/>
        <w:right w:val="none" w:sz="0" w:space="0" w:color="auto"/>
      </w:divBdr>
    </w:div>
    <w:div w:id="1933390129">
      <w:bodyDiv w:val="1"/>
      <w:marLeft w:val="0"/>
      <w:marRight w:val="0"/>
      <w:marTop w:val="0"/>
      <w:marBottom w:val="0"/>
      <w:divBdr>
        <w:top w:val="none" w:sz="0" w:space="0" w:color="auto"/>
        <w:left w:val="none" w:sz="0" w:space="0" w:color="auto"/>
        <w:bottom w:val="none" w:sz="0" w:space="0" w:color="auto"/>
        <w:right w:val="none" w:sz="0" w:space="0" w:color="auto"/>
      </w:divBdr>
    </w:div>
    <w:div w:id="2136672838">
      <w:bodyDiv w:val="1"/>
      <w:marLeft w:val="0"/>
      <w:marRight w:val="0"/>
      <w:marTop w:val="0"/>
      <w:marBottom w:val="0"/>
      <w:divBdr>
        <w:top w:val="none" w:sz="0" w:space="0" w:color="auto"/>
        <w:left w:val="none" w:sz="0" w:space="0" w:color="auto"/>
        <w:bottom w:val="none" w:sz="0" w:space="0" w:color="auto"/>
        <w:right w:val="none" w:sz="0" w:space="0" w:color="auto"/>
      </w:divBdr>
      <w:divsChild>
        <w:div w:id="232005126">
          <w:marLeft w:val="0"/>
          <w:marRight w:val="0"/>
          <w:marTop w:val="0"/>
          <w:marBottom w:val="0"/>
          <w:divBdr>
            <w:top w:val="none" w:sz="0" w:space="0" w:color="auto"/>
            <w:left w:val="none" w:sz="0" w:space="0" w:color="auto"/>
            <w:bottom w:val="none" w:sz="0" w:space="0" w:color="auto"/>
            <w:right w:val="none" w:sz="0" w:space="0" w:color="auto"/>
          </w:divBdr>
        </w:div>
        <w:div w:id="184990895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microsoft.com/office/2018/08/relationships/commentsExtensible" Target="commentsExtensible.xm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header" Target="header1.xml"/><Relationship Id="rId17" Type="http://schemas.microsoft.com/office/2016/09/relationships/commentsIds" Target="commentsIds.xml"/><Relationship Id="rId25" Type="http://schemas.openxmlformats.org/officeDocument/2006/relationships/image" Target="media/image9.emf"/><Relationship Id="rId2" Type="http://schemas.openxmlformats.org/officeDocument/2006/relationships/customXml" Target="../customXml/item2.xml"/><Relationship Id="rId16" Type="http://schemas.microsoft.com/office/2011/relationships/commentsExtended" Target="commentsExtended.xml"/><Relationship Id="rId20" Type="http://schemas.openxmlformats.org/officeDocument/2006/relationships/image" Target="media/image4.jp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8.jpeg"/><Relationship Id="rId5" Type="http://schemas.openxmlformats.org/officeDocument/2006/relationships/numbering" Target="numbering.xml"/><Relationship Id="rId15" Type="http://schemas.openxmlformats.org/officeDocument/2006/relationships/comments" Target="comments.xml"/><Relationship Id="rId23" Type="http://schemas.openxmlformats.org/officeDocument/2006/relationships/image" Target="media/image7.png"/><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header" Target="header3.xml"/><Relationship Id="rId30" Type="http://schemas.microsoft.com/office/2011/relationships/people" Target="peop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activity xmlns="d8fce24e-57a7-45af-921f-5453743c8ac8"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1407EA103BB8444E80CB4F7D10377627" ma:contentTypeVersion="9" ma:contentTypeDescription="Crée un document." ma:contentTypeScope="" ma:versionID="af41f0df97a34a08d774e0cc12a827f6">
  <xsd:schema xmlns:xsd="http://www.w3.org/2001/XMLSchema" xmlns:xs="http://www.w3.org/2001/XMLSchema" xmlns:p="http://schemas.microsoft.com/office/2006/metadata/properties" xmlns:ns3="d8fce24e-57a7-45af-921f-5453743c8ac8" targetNamespace="http://schemas.microsoft.com/office/2006/metadata/properties" ma:root="true" ma:fieldsID="3bda1ddf7f5f479ca174f88188101e38" ns3:_="">
    <xsd:import namespace="d8fce24e-57a7-45af-921f-5453743c8ac8"/>
    <xsd:element name="properties">
      <xsd:complexType>
        <xsd:sequence>
          <xsd:element name="documentManagement">
            <xsd:complexType>
              <xsd:all>
                <xsd:element ref="ns3:MediaServiceMetadata" minOccurs="0"/>
                <xsd:element ref="ns3:MediaServiceFastMetadata" minOccurs="0"/>
                <xsd:element ref="ns3:_activity" minOccurs="0"/>
                <xsd:element ref="ns3:MediaServiceSearchProperties" minOccurs="0"/>
                <xsd:element ref="ns3:MediaServiceObjectDetectorVersions" minOccurs="0"/>
                <xsd:element ref="ns3:MediaServiceDateTaken" minOccurs="0"/>
                <xsd:element ref="ns3:MediaServiceSystem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fce24e-57a7-45af-921f-5453743c8ac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SystemTags" ma:index="14" nillable="true" ma:displayName="MediaServiceSystemTags" ma:hidden="true" ma:internalName="MediaServiceSystemTags" ma:readOnly="true">
      <xsd:simpleType>
        <xsd:restriction base="dms:Note"/>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150F7E4-CB73-405D-88A9-4D56CA7CBB6A}">
  <ds:schemaRefs>
    <ds:schemaRef ds:uri="http://schemas.microsoft.com/sharepoint/v3/contenttype/forms"/>
  </ds:schemaRefs>
</ds:datastoreItem>
</file>

<file path=customXml/itemProps2.xml><?xml version="1.0" encoding="utf-8"?>
<ds:datastoreItem xmlns:ds="http://schemas.openxmlformats.org/officeDocument/2006/customXml" ds:itemID="{B0D503B6-6189-445C-820B-1539098EA41A}">
  <ds:schemaRefs>
    <ds:schemaRef ds:uri="http://schemas.microsoft.com/office/2006/metadata/properties"/>
    <ds:schemaRef ds:uri="http://schemas.microsoft.com/office/infopath/2007/PartnerControls"/>
    <ds:schemaRef ds:uri="d8fce24e-57a7-45af-921f-5453743c8ac8"/>
  </ds:schemaRefs>
</ds:datastoreItem>
</file>

<file path=customXml/itemProps3.xml><?xml version="1.0" encoding="utf-8"?>
<ds:datastoreItem xmlns:ds="http://schemas.openxmlformats.org/officeDocument/2006/customXml" ds:itemID="{D93AA5F9-EEAF-49C6-83F3-39B7391EEAEE}">
  <ds:schemaRefs>
    <ds:schemaRef ds:uri="http://schemas.openxmlformats.org/officeDocument/2006/bibliography"/>
  </ds:schemaRefs>
</ds:datastoreItem>
</file>

<file path=customXml/itemProps4.xml><?xml version="1.0" encoding="utf-8"?>
<ds:datastoreItem xmlns:ds="http://schemas.openxmlformats.org/officeDocument/2006/customXml" ds:itemID="{E233B30F-69AF-49B8-AADE-F763F85350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fce24e-57a7-45af-921f-5453743c8a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135</TotalTime>
  <Pages>24</Pages>
  <Words>9188</Words>
  <Characters>50534</Characters>
  <Application>Microsoft Office Word</Application>
  <DocSecurity>0</DocSecurity>
  <Lines>421</Lines>
  <Paragraphs>119</Paragraphs>
  <ScaleCrop>false</ScaleCrop>
  <HeadingPairs>
    <vt:vector size="2" baseType="variant">
      <vt:variant>
        <vt:lpstr>Titre</vt:lpstr>
      </vt:variant>
      <vt:variant>
        <vt:i4>1</vt:i4>
      </vt:variant>
    </vt:vector>
  </HeadingPairs>
  <TitlesOfParts>
    <vt:vector size="1" baseType="lpstr">
      <vt:lpstr>MARCHE DE PRESTATIONS INTELLECTUELLES</vt:lpstr>
    </vt:vector>
  </TitlesOfParts>
  <Company>HP</Company>
  <LinksUpToDate>false</LinksUpToDate>
  <CharactersWithSpaces>59603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MARCHE DE PRESTATIONS INTELLECTUELLES</dc:title>
  <dc:subject/>
  <dc:creator>Stéphanie Béraud-Guénard (Cabinet Clément &amp; Associés)</dc:creator>
  <cp:keywords/>
  <dc:description/>
  <cp:lastModifiedBy>Laure Auvray</cp:lastModifiedBy>
  <cp:revision>9</cp:revision>
  <cp:lastPrinted>2016-02-03T16:15:00Z</cp:lastPrinted>
  <dcterms:created xsi:type="dcterms:W3CDTF">2025-03-12T10:54:00Z</dcterms:created>
  <dcterms:modified xsi:type="dcterms:W3CDTF">2025-03-17T13:10:00Z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0x0101001407EA103BB8444E80CB4F7D10377627</vt:lpwstr>
  </property>
</Properties>
</file>